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8"/>
        </w:rPr>
      </w:pPr>
      <w:bookmarkStart w:id="0" w:name="_GoBack"/>
      <w:bookmarkEnd w:id="0"/>
      <w:r>
        <w:rPr>
          <w:rStyle w:val="17"/>
          <w:rFonts w:hint="eastAsia"/>
          <w:sz w:val="32"/>
        </w:rPr>
        <w:t>非利息收入对上市城（农）商行绩效影响的实证研究</w:t>
      </w:r>
    </w:p>
    <w:p>
      <w:pPr>
        <w:jc w:val="center"/>
        <w:rPr>
          <w:rStyle w:val="18"/>
          <w:b w:val="0"/>
          <w:sz w:val="24"/>
          <w:szCs w:val="24"/>
        </w:rPr>
      </w:pPr>
      <w:r>
        <w:rPr>
          <w:rStyle w:val="18"/>
          <w:b w:val="0"/>
          <w:sz w:val="24"/>
          <w:szCs w:val="24"/>
        </w:rPr>
        <w:t>喻晓芬</w:t>
      </w:r>
      <w:r>
        <w:rPr>
          <w:rStyle w:val="16"/>
          <w:rFonts w:asciiTheme="majorHAnsi" w:hAnsiTheme="majorHAnsi" w:eastAsiaTheme="majorEastAsia" w:cstheme="majorBidi"/>
          <w:bCs/>
          <w:sz w:val="24"/>
          <w:szCs w:val="24"/>
        </w:rPr>
        <w:footnoteReference w:id="0" w:customMarkFollows="1"/>
        <w:t>1</w:t>
      </w:r>
      <w:r>
        <w:rPr>
          <w:rStyle w:val="18"/>
          <w:rFonts w:hint="eastAsia"/>
          <w:b w:val="0"/>
          <w:sz w:val="24"/>
          <w:szCs w:val="24"/>
        </w:rPr>
        <w:t xml:space="preserve">   李淑锦</w:t>
      </w:r>
      <w:r>
        <w:rPr>
          <w:rStyle w:val="16"/>
          <w:rFonts w:asciiTheme="majorHAnsi" w:hAnsiTheme="majorHAnsi" w:eastAsiaTheme="majorEastAsia" w:cstheme="majorBidi"/>
          <w:bCs/>
          <w:sz w:val="24"/>
          <w:szCs w:val="24"/>
        </w:rPr>
        <w:footnoteReference w:id="1" w:customMarkFollows="1"/>
        <w:t>2</w:t>
      </w:r>
    </w:p>
    <w:p>
      <w:pPr>
        <w:jc w:val="center"/>
        <w:rPr>
          <w:rStyle w:val="18"/>
          <w:b w:val="0"/>
          <w:sz w:val="24"/>
          <w:szCs w:val="24"/>
        </w:rPr>
      </w:pPr>
      <w:r>
        <w:rPr>
          <w:rStyle w:val="18"/>
          <w:rFonts w:hint="eastAsia"/>
          <w:b w:val="0"/>
          <w:sz w:val="24"/>
          <w:szCs w:val="24"/>
        </w:rPr>
        <w:t>（杭州电子科技大学经济学院 浙江 杭州 310018）</w:t>
      </w:r>
    </w:p>
    <w:p>
      <w:pPr>
        <w:jc w:val="center"/>
        <w:rPr>
          <w:rStyle w:val="18"/>
          <w:b w:val="0"/>
          <w:sz w:val="21"/>
          <w:szCs w:val="21"/>
        </w:rPr>
      </w:pPr>
    </w:p>
    <w:p>
      <w:pPr>
        <w:rPr>
          <w:rStyle w:val="18"/>
          <w:b w:val="0"/>
          <w:sz w:val="21"/>
        </w:rPr>
      </w:pPr>
      <w:r>
        <w:rPr>
          <w:rStyle w:val="18"/>
          <w:sz w:val="24"/>
          <w:szCs w:val="24"/>
        </w:rPr>
        <w:t>摘要</w:t>
      </w:r>
      <w:r>
        <w:rPr>
          <w:rStyle w:val="18"/>
          <w:rFonts w:hint="eastAsia"/>
          <w:sz w:val="24"/>
          <w:szCs w:val="24"/>
        </w:rPr>
        <w:t>：</w:t>
      </w:r>
      <w:r>
        <w:rPr>
          <w:rStyle w:val="18"/>
          <w:rFonts w:hint="eastAsia"/>
          <w:b w:val="0"/>
          <w:sz w:val="24"/>
          <w:szCs w:val="24"/>
        </w:rPr>
        <w:t>本文利用2014-2018年20家上市城商行、7家农商行的面板数据，将非利息收入占比和收入多元化指数作为解释变量，ROE为被解释变量，选取成本收入比、权益比、资产规模、GDP指数、互联网金融指数等为控制变量，建立模型实证分析了非利息收入对中国上市城商行和农商行绩效的影响。结果表明：非利息收入对城商行和农商行绩效的影响不同，非利息收入不利于提高城商行绩效，有利于农商行绩效提高，但是效果不显著。这充分说明了非利息收入对不同类型商业银行绩效的影响是不同的</w:t>
      </w:r>
      <w:r>
        <w:rPr>
          <w:rStyle w:val="18"/>
          <w:rFonts w:hint="eastAsia"/>
          <w:b w:val="0"/>
          <w:sz w:val="21"/>
        </w:rPr>
        <w:t>。</w:t>
      </w:r>
    </w:p>
    <w:p>
      <w:pPr>
        <w:rPr>
          <w:rStyle w:val="18"/>
          <w:b w:val="0"/>
          <w:sz w:val="24"/>
          <w:szCs w:val="24"/>
        </w:rPr>
      </w:pPr>
      <w:r>
        <w:rPr>
          <w:rStyle w:val="18"/>
          <w:rFonts w:hint="eastAsia"/>
          <w:b w:val="0"/>
          <w:sz w:val="24"/>
          <w:szCs w:val="24"/>
        </w:rPr>
        <w:t>关键词：城（农）商行；非利息收入；多元化收入；银行绩效</w:t>
      </w:r>
    </w:p>
    <w:p>
      <w:pPr>
        <w:spacing w:beforeLines="50"/>
        <w:ind w:firstLine="480" w:firstLineChars="200"/>
        <w:rPr>
          <w:sz w:val="24"/>
          <w:szCs w:val="24"/>
        </w:rPr>
      </w:pPr>
      <w:r>
        <w:rPr>
          <w:rFonts w:hint="eastAsia"/>
          <w:sz w:val="24"/>
          <w:szCs w:val="24"/>
        </w:rPr>
        <w:t>近几年随着我国步入经济新常态，经济增速由高速进入中高速状态，金融环境发生巨大变化，商业银行的利润虽然仍然处于上升趋势，但是增速明显放缓。众所周知，商业银行的利润主要来自于利息收入与非利息收入，在国内，以存贷利差产生的利息收入为主，占据了营业收入70%以上的比重。在互联网金融大量涌现以及利率市场化的背景下，金融脱媒加剧，存贷利差收窄，商业银行以利息收入为主的盈利模式难以保持利润的持续增长，利润空间逐渐缩小，收益的波动性加大，银行面临更大的利率风险。由此可见非利息收入的重要性凸显，银行家将发展非利息收入业务看作是丰富收入来源、提高经营绩效的必然途径。</w:t>
      </w:r>
    </w:p>
    <w:p>
      <w:pPr>
        <w:ind w:firstLine="480" w:firstLineChars="200"/>
        <w:rPr>
          <w:sz w:val="24"/>
          <w:szCs w:val="24"/>
        </w:rPr>
      </w:pPr>
      <w:r>
        <w:rPr>
          <w:rFonts w:hint="eastAsia"/>
          <w:sz w:val="24"/>
          <w:szCs w:val="24"/>
        </w:rPr>
        <w:t>城（农）商行作为区域性银行，对于区域经济的发展起到了重要的作用，与大型商业银行的业务对象可以形成互补，共同促进区域经济的发展。近期数据显示城（农）商行的资产规模在不断增大，在银行业中所占的比重也越来越大，开始占据着举足轻重的地位，而且近三年来共有十几家城（农）商行陆续上市，城（农）商行通过上市来补充自身资金更好的为区域经济做出贡献。相对于大型商业银行，城（农）商行更加依赖于以存贷利差为主的经营模式，受到的冲击更大。因此，研究非利息收入占比提高对于上市城（农）商行经营绩效产生的影响对于今后银行的盈利模式与发展战略的布局、实现高效、可持续性发展具有重要的指导意义与现实意义。</w:t>
      </w:r>
    </w:p>
    <w:p>
      <w:pPr>
        <w:ind w:firstLine="480" w:firstLineChars="200"/>
        <w:rPr>
          <w:rFonts w:ascii="宋体" w:hAnsi="宋体"/>
          <w:sz w:val="24"/>
          <w:szCs w:val="24"/>
        </w:rPr>
      </w:pPr>
      <w:r>
        <w:rPr>
          <w:rFonts w:hint="eastAsia" w:ascii="宋体" w:hAnsi="宋体"/>
          <w:sz w:val="24"/>
          <w:szCs w:val="24"/>
        </w:rPr>
        <w:t>关于非利息收入如何影响商业银行的绩效，学者们并没有达成一致的结论。目前对于该问题的研究，主要有四种观点：</w:t>
      </w:r>
    </w:p>
    <w:p>
      <w:pPr>
        <w:ind w:firstLine="480" w:firstLineChars="200"/>
        <w:rPr>
          <w:sz w:val="24"/>
          <w:szCs w:val="24"/>
        </w:rPr>
      </w:pPr>
      <w:r>
        <w:rPr>
          <w:rFonts w:hint="eastAsia" w:ascii="宋体" w:hAnsi="宋体"/>
          <w:sz w:val="24"/>
          <w:szCs w:val="24"/>
        </w:rPr>
        <w:t>一种观点是</w:t>
      </w:r>
      <w:r>
        <w:rPr>
          <w:rFonts w:hint="eastAsia"/>
          <w:sz w:val="24"/>
          <w:szCs w:val="24"/>
        </w:rPr>
        <w:t>非利息收入有利于提升商业银行的绩效。</w:t>
      </w:r>
      <w:r>
        <w:rPr>
          <w:sz w:val="24"/>
          <w:szCs w:val="24"/>
        </w:rPr>
        <w:t>Sanya和Wolfe</w:t>
      </w:r>
      <w:r>
        <w:rPr>
          <w:rFonts w:hint="eastAsia"/>
          <w:sz w:val="24"/>
          <w:szCs w:val="24"/>
        </w:rPr>
        <w:t>（2010）</w:t>
      </w:r>
      <w:r>
        <w:rPr>
          <w:rStyle w:val="13"/>
          <w:sz w:val="24"/>
          <w:szCs w:val="24"/>
        </w:rPr>
        <w:endnoteReference w:id="0" w:customMarkFollows="1"/>
        <w:sym w:font="Symbol" w:char="F05B"/>
      </w:r>
      <w:r>
        <w:rPr>
          <w:rStyle w:val="13"/>
          <w:sz w:val="24"/>
          <w:szCs w:val="24"/>
        </w:rPr>
        <w:sym w:font="Symbol" w:char="F031"/>
      </w:r>
      <w:r>
        <w:rPr>
          <w:rStyle w:val="13"/>
          <w:sz w:val="24"/>
          <w:szCs w:val="24"/>
        </w:rPr>
        <w:sym w:font="Symbol" w:char="F05D"/>
      </w:r>
      <w:r>
        <w:rPr>
          <w:sz w:val="24"/>
          <w:szCs w:val="24"/>
        </w:rPr>
        <w:t>利用</w:t>
      </w:r>
      <w:r>
        <w:rPr>
          <w:rFonts w:hint="eastAsia"/>
          <w:sz w:val="24"/>
          <w:szCs w:val="24"/>
        </w:rPr>
        <w:t>11个国家总共226家上市银行的数据进行分析，研究得出非利息收入可以降低银行的风险，提高银行绩效；</w:t>
      </w:r>
      <w:r>
        <w:rPr>
          <w:sz w:val="24"/>
          <w:szCs w:val="24"/>
        </w:rPr>
        <w:t>Meslier</w:t>
      </w:r>
      <w:r>
        <w:rPr>
          <w:rFonts w:hint="eastAsia"/>
          <w:sz w:val="24"/>
          <w:szCs w:val="24"/>
        </w:rPr>
        <w:t>等（2014）</w:t>
      </w:r>
      <w:r>
        <w:rPr>
          <w:rStyle w:val="13"/>
          <w:sz w:val="24"/>
          <w:szCs w:val="24"/>
        </w:rPr>
        <w:endnoteReference w:id="1" w:customMarkFollows="1"/>
        <w:t>[2]</w:t>
      </w:r>
      <w:r>
        <w:rPr>
          <w:rFonts w:hint="eastAsia"/>
          <w:sz w:val="24"/>
          <w:szCs w:val="24"/>
        </w:rPr>
        <w:t>也得出向非利息活动的转变增加了银行利润和风险调整利润。李琼和单承芸</w:t>
      </w:r>
      <w:r>
        <w:rPr>
          <w:rStyle w:val="13"/>
          <w:sz w:val="24"/>
          <w:szCs w:val="24"/>
        </w:rPr>
        <w:endnoteReference w:id="2" w:customMarkFollows="1"/>
        <w:t>[3]</w:t>
      </w:r>
      <w:r>
        <w:rPr>
          <w:rFonts w:hint="eastAsia"/>
          <w:sz w:val="24"/>
          <w:szCs w:val="24"/>
        </w:rPr>
        <w:t>（2019）以25家上市银行2011-2016年数据为样本，通过实证分析发现全体上市银行非利息收入占比的提高使得经营绩效提高，但影响不显著；任立媛和赵莉（2018）</w:t>
      </w:r>
      <w:r>
        <w:rPr>
          <w:rStyle w:val="13"/>
          <w:sz w:val="24"/>
          <w:szCs w:val="24"/>
        </w:rPr>
        <w:endnoteReference w:id="3" w:customMarkFollows="1"/>
        <w:t>[4]</w:t>
      </w:r>
      <w:r>
        <w:rPr>
          <w:rFonts w:hint="eastAsia"/>
          <w:sz w:val="24"/>
          <w:szCs w:val="24"/>
        </w:rPr>
        <w:t>选择我国</w:t>
      </w:r>
      <w:r>
        <w:rPr>
          <w:sz w:val="24"/>
          <w:szCs w:val="24"/>
        </w:rPr>
        <w:t>16</w:t>
      </w:r>
      <w:r>
        <w:rPr>
          <w:rFonts w:hint="eastAsia"/>
          <w:sz w:val="24"/>
          <w:szCs w:val="24"/>
        </w:rPr>
        <w:t>家上市商业银行为研究样本进行实证分析，结论是非利息收入在营业收入中的占比越高，商业银行的整体绩效越好；张欢（2016）</w:t>
      </w:r>
      <w:r>
        <w:rPr>
          <w:rStyle w:val="13"/>
          <w:sz w:val="24"/>
          <w:szCs w:val="24"/>
        </w:rPr>
        <w:endnoteReference w:id="4" w:customMarkFollows="1"/>
        <w:t>[5]</w:t>
      </w:r>
      <w:r>
        <w:rPr>
          <w:rFonts w:hint="eastAsia"/>
          <w:sz w:val="24"/>
          <w:szCs w:val="24"/>
        </w:rPr>
        <w:t>认为开展非利息收入业务不仅能显著提高银行盈利能力，还能降低其波动性；</w:t>
      </w:r>
    </w:p>
    <w:p>
      <w:pPr>
        <w:ind w:firstLine="420"/>
        <w:rPr>
          <w:sz w:val="24"/>
          <w:szCs w:val="24"/>
        </w:rPr>
      </w:pPr>
      <w:r>
        <w:rPr>
          <w:rFonts w:hint="eastAsia"/>
          <w:sz w:val="24"/>
          <w:szCs w:val="24"/>
        </w:rPr>
        <w:t>第二种观点是非利息收入不利于提高商业银行绩效。</w:t>
      </w:r>
      <w:r>
        <w:rPr>
          <w:sz w:val="24"/>
          <w:szCs w:val="24"/>
        </w:rPr>
        <w:t>Lepetit</w:t>
      </w:r>
      <w:r>
        <w:rPr>
          <w:rFonts w:hint="eastAsia"/>
          <w:sz w:val="24"/>
          <w:szCs w:val="24"/>
        </w:rPr>
        <w:t>等（2008）</w:t>
      </w:r>
      <w:r>
        <w:rPr>
          <w:rStyle w:val="13"/>
          <w:sz w:val="24"/>
          <w:szCs w:val="24"/>
        </w:rPr>
        <w:endnoteReference w:id="5" w:customMarkFollows="1"/>
        <w:t>[6]</w:t>
      </w:r>
      <w:r>
        <w:rPr>
          <w:rFonts w:hint="eastAsia"/>
          <w:sz w:val="24"/>
          <w:szCs w:val="24"/>
        </w:rPr>
        <w:t>对</w:t>
      </w:r>
      <w:r>
        <w:rPr>
          <w:sz w:val="24"/>
          <w:szCs w:val="24"/>
        </w:rPr>
        <w:t>1996</w:t>
      </w:r>
      <w:r>
        <w:rPr>
          <w:rFonts w:hint="eastAsia"/>
          <w:sz w:val="24"/>
          <w:szCs w:val="24"/>
        </w:rPr>
        <w:t>—</w:t>
      </w:r>
      <w:r>
        <w:rPr>
          <w:sz w:val="24"/>
          <w:szCs w:val="24"/>
        </w:rPr>
        <w:t xml:space="preserve">2002 </w:t>
      </w:r>
      <w:r>
        <w:rPr>
          <w:rFonts w:hint="eastAsia"/>
          <w:sz w:val="24"/>
          <w:szCs w:val="24"/>
        </w:rPr>
        <w:t>年欧洲银行业的多元化经营进行分析，说明非利息业务加大银行的经营风险，但对经营绩效的改善并不明显；Calmes等（2007）</w:t>
      </w:r>
      <w:r>
        <w:rPr>
          <w:rStyle w:val="13"/>
          <w:sz w:val="24"/>
          <w:szCs w:val="24"/>
        </w:rPr>
        <w:endnoteReference w:id="6" w:customMarkFollows="1"/>
        <w:t>[7]</w:t>
      </w:r>
      <w:r>
        <w:rPr>
          <w:rFonts w:hint="eastAsia"/>
          <w:sz w:val="24"/>
          <w:szCs w:val="24"/>
        </w:rPr>
        <w:t>认为非利息收入对银行绩效产生负向作用；胡东婉和朱安琪（2018）</w:t>
      </w:r>
      <w:r>
        <w:rPr>
          <w:rStyle w:val="13"/>
          <w:sz w:val="24"/>
          <w:szCs w:val="24"/>
        </w:rPr>
        <w:endnoteReference w:id="7" w:customMarkFollows="1"/>
        <w:t>[8]</w:t>
      </w:r>
      <w:r>
        <w:rPr>
          <w:rFonts w:hint="eastAsia"/>
          <w:sz w:val="24"/>
          <w:szCs w:val="24"/>
        </w:rPr>
        <w:t>基于35家上市银行的实证数据，利用广义矩估计方法进行检验，研究结果表明非利息收入与银行绩效呈负相关关系。</w:t>
      </w:r>
    </w:p>
    <w:p>
      <w:pPr>
        <w:ind w:firstLine="420"/>
        <w:rPr>
          <w:sz w:val="24"/>
          <w:szCs w:val="24"/>
        </w:rPr>
      </w:pPr>
      <w:r>
        <w:rPr>
          <w:rFonts w:hint="eastAsia"/>
          <w:sz w:val="24"/>
          <w:szCs w:val="24"/>
        </w:rPr>
        <w:t>第三种观点是非利息收入占比与银行绩效呈倒“U”型。田雅群等（2017）</w:t>
      </w:r>
      <w:r>
        <w:rPr>
          <w:rStyle w:val="13"/>
          <w:sz w:val="24"/>
          <w:szCs w:val="24"/>
        </w:rPr>
        <w:endnoteReference w:id="8" w:customMarkFollows="1"/>
        <w:t>[9]</w:t>
      </w:r>
      <w:r>
        <w:rPr>
          <w:rFonts w:hint="eastAsia"/>
          <w:sz w:val="24"/>
          <w:szCs w:val="24"/>
        </w:rPr>
        <w:t>基于农村商业银行的微观数据，研究结论表明，非利息收入占比与银行绩效呈倒“</w:t>
      </w:r>
      <w:r>
        <w:rPr>
          <w:sz w:val="24"/>
          <w:szCs w:val="24"/>
        </w:rPr>
        <w:t>U</w:t>
      </w:r>
      <w:r>
        <w:rPr>
          <w:rFonts w:hint="eastAsia"/>
          <w:sz w:val="24"/>
          <w:szCs w:val="24"/>
        </w:rPr>
        <w:t>”型关系；陈雨潇</w:t>
      </w:r>
      <w:r>
        <w:rPr>
          <w:sz w:val="24"/>
          <w:szCs w:val="24"/>
        </w:rPr>
        <w:t>和</w:t>
      </w:r>
      <w:r>
        <w:rPr>
          <w:rFonts w:hint="eastAsia"/>
          <w:sz w:val="24"/>
          <w:szCs w:val="24"/>
        </w:rPr>
        <w:t>周昭维（2017）</w:t>
      </w:r>
      <w:r>
        <w:rPr>
          <w:rStyle w:val="13"/>
          <w:sz w:val="24"/>
          <w:szCs w:val="24"/>
        </w:rPr>
        <w:endnoteReference w:id="9" w:customMarkFollows="1"/>
        <w:t>[10]</w:t>
      </w:r>
      <w:r>
        <w:rPr>
          <w:rFonts w:hint="eastAsia"/>
          <w:sz w:val="24"/>
          <w:szCs w:val="24"/>
        </w:rPr>
        <w:t>选取</w:t>
      </w:r>
      <w:r>
        <w:rPr>
          <w:sz w:val="24"/>
          <w:szCs w:val="24"/>
        </w:rPr>
        <w:t>2010</w:t>
      </w:r>
      <w:r>
        <w:rPr>
          <w:rFonts w:hint="eastAsia"/>
          <w:sz w:val="24"/>
          <w:szCs w:val="24"/>
        </w:rPr>
        <w:t>—</w:t>
      </w:r>
      <w:r>
        <w:rPr>
          <w:sz w:val="24"/>
          <w:szCs w:val="24"/>
        </w:rPr>
        <w:t xml:space="preserve">2015 </w:t>
      </w:r>
      <w:r>
        <w:rPr>
          <w:rFonts w:hint="eastAsia"/>
          <w:sz w:val="24"/>
          <w:szCs w:val="24"/>
        </w:rPr>
        <w:t>年度</w:t>
      </w:r>
      <w:r>
        <w:rPr>
          <w:sz w:val="24"/>
          <w:szCs w:val="24"/>
        </w:rPr>
        <w:t xml:space="preserve">40 </w:t>
      </w:r>
      <w:r>
        <w:rPr>
          <w:rFonts w:hint="eastAsia"/>
          <w:sz w:val="24"/>
          <w:szCs w:val="24"/>
        </w:rPr>
        <w:t>家商业银行的经营数据及宏观数据，利用面板门限模型与二次模型进行分析，研究结果表明中间业务收入与经营绩效存在倒</w:t>
      </w:r>
      <w:r>
        <w:rPr>
          <w:sz w:val="24"/>
          <w:szCs w:val="24"/>
        </w:rPr>
        <w:t xml:space="preserve">U </w:t>
      </w:r>
      <w:r>
        <w:rPr>
          <w:rFonts w:hint="eastAsia"/>
          <w:sz w:val="24"/>
          <w:szCs w:val="24"/>
        </w:rPr>
        <w:t>型的关系，中间业务收入存在一定的适度区间；窦俊贤（2015）</w:t>
      </w:r>
      <w:r>
        <w:rPr>
          <w:rStyle w:val="13"/>
          <w:sz w:val="24"/>
          <w:szCs w:val="24"/>
        </w:rPr>
        <w:endnoteReference w:id="10" w:customMarkFollows="1"/>
        <w:t>[11]</w:t>
      </w:r>
      <w:r>
        <w:rPr>
          <w:rFonts w:hint="eastAsia"/>
          <w:sz w:val="24"/>
          <w:szCs w:val="24"/>
        </w:rPr>
        <w:t>基于我国16家上市商业银行2008—2013年的数据，发现非利息收入占比与银行绩效存在着倒U型关系。</w:t>
      </w:r>
    </w:p>
    <w:p>
      <w:pPr>
        <w:ind w:firstLine="420"/>
        <w:rPr>
          <w:sz w:val="24"/>
          <w:szCs w:val="24"/>
        </w:rPr>
      </w:pPr>
      <w:r>
        <w:rPr>
          <w:rFonts w:hint="eastAsia"/>
          <w:sz w:val="24"/>
          <w:szCs w:val="24"/>
        </w:rPr>
        <w:t>最后一种观点是非利息收入对不同类型商业银行绩效影响不同。学者们根据不同规模以及类型的银行研究非利息收入对其影响，发现非利息收入对于不同的银行绩效影响也不尽相同，甚至对于同一类型银行，学者们得出的结论也不尽相同。王正耀和杨景陆（2018）</w:t>
      </w:r>
      <w:r>
        <w:rPr>
          <w:rStyle w:val="13"/>
          <w:sz w:val="24"/>
          <w:szCs w:val="24"/>
        </w:rPr>
        <w:endnoteReference w:id="11" w:customMarkFollows="1"/>
        <w:t>[12]</w:t>
      </w:r>
      <w:r>
        <w:rPr>
          <w:rFonts w:hint="eastAsia"/>
          <w:sz w:val="24"/>
          <w:szCs w:val="24"/>
        </w:rPr>
        <w:t>利用</w:t>
      </w:r>
      <w:r>
        <w:rPr>
          <w:sz w:val="24"/>
          <w:szCs w:val="24"/>
        </w:rPr>
        <w:t>2009—2016</w:t>
      </w:r>
      <w:r>
        <w:rPr>
          <w:rFonts w:hint="eastAsia"/>
          <w:sz w:val="24"/>
          <w:szCs w:val="24"/>
        </w:rPr>
        <w:t>年中国</w:t>
      </w:r>
      <w:r>
        <w:rPr>
          <w:sz w:val="24"/>
          <w:szCs w:val="24"/>
        </w:rPr>
        <w:t>16</w:t>
      </w:r>
      <w:r>
        <w:rPr>
          <w:rFonts w:hint="eastAsia"/>
          <w:sz w:val="24"/>
          <w:szCs w:val="24"/>
        </w:rPr>
        <w:t>家上市商业银行的面板数据，构建了单一门槛的面板门槛模型进行实证分析，结果表明：对于资产规模小于</w:t>
      </w:r>
      <w:r>
        <w:rPr>
          <w:sz w:val="24"/>
          <w:szCs w:val="24"/>
        </w:rPr>
        <w:t xml:space="preserve">21163.39 </w:t>
      </w:r>
      <w:r>
        <w:rPr>
          <w:rFonts w:hint="eastAsia"/>
          <w:sz w:val="24"/>
          <w:szCs w:val="24"/>
        </w:rPr>
        <w:t>亿元的小型银行来说，非利息收入并不会改善银行经营效率；对于资产规模超过</w:t>
      </w:r>
      <w:r>
        <w:rPr>
          <w:sz w:val="24"/>
          <w:szCs w:val="24"/>
        </w:rPr>
        <w:t xml:space="preserve">21163.39 </w:t>
      </w:r>
      <w:r>
        <w:rPr>
          <w:rFonts w:hint="eastAsia"/>
          <w:sz w:val="24"/>
          <w:szCs w:val="24"/>
        </w:rPr>
        <w:t>亿元的大型银行来说，非利息收入对银行提高经营效率更为有效；冯波</w:t>
      </w:r>
      <w:r>
        <w:rPr>
          <w:sz w:val="24"/>
          <w:szCs w:val="24"/>
        </w:rPr>
        <w:t>等</w:t>
      </w:r>
      <w:r>
        <w:rPr>
          <w:rFonts w:hint="eastAsia"/>
          <w:sz w:val="24"/>
          <w:szCs w:val="24"/>
        </w:rPr>
        <w:t>（2016）</w:t>
      </w:r>
      <w:r>
        <w:rPr>
          <w:rStyle w:val="13"/>
          <w:sz w:val="24"/>
          <w:szCs w:val="24"/>
        </w:rPr>
        <w:endnoteReference w:id="12" w:customMarkFollows="1"/>
        <w:t>[13]</w:t>
      </w:r>
      <w:r>
        <w:rPr>
          <w:rFonts w:hint="eastAsia"/>
          <w:sz w:val="24"/>
          <w:szCs w:val="24"/>
        </w:rPr>
        <w:t>利用</w:t>
      </w:r>
      <w:r>
        <w:rPr>
          <w:sz w:val="24"/>
          <w:szCs w:val="24"/>
        </w:rPr>
        <w:t>2007</w:t>
      </w:r>
      <w:r>
        <w:rPr>
          <w:rFonts w:hint="eastAsia"/>
          <w:sz w:val="24"/>
          <w:szCs w:val="24"/>
        </w:rPr>
        <w:t>—</w:t>
      </w:r>
      <w:r>
        <w:rPr>
          <w:sz w:val="24"/>
          <w:szCs w:val="24"/>
        </w:rPr>
        <w:t xml:space="preserve">2013 </w:t>
      </w:r>
      <w:r>
        <w:rPr>
          <w:rFonts w:hint="eastAsia"/>
          <w:sz w:val="24"/>
          <w:szCs w:val="24"/>
        </w:rPr>
        <w:t>年我国</w:t>
      </w:r>
      <w:r>
        <w:rPr>
          <w:sz w:val="24"/>
          <w:szCs w:val="24"/>
        </w:rPr>
        <w:t xml:space="preserve">16 </w:t>
      </w:r>
      <w:r>
        <w:rPr>
          <w:rFonts w:hint="eastAsia"/>
          <w:sz w:val="24"/>
          <w:szCs w:val="24"/>
        </w:rPr>
        <w:t>家上市商业银行的面板数据，认为大型国有商业银行的绩效与非利息收入占比正相关，城市商业银行的绩效与非利息收入占比负相关，股份制商业银行应根据自身业务的特点制定差异化的发展战略；王曼怡和甄晗蕾（2016）</w:t>
      </w:r>
      <w:r>
        <w:rPr>
          <w:rStyle w:val="13"/>
          <w:sz w:val="24"/>
          <w:szCs w:val="24"/>
        </w:rPr>
        <w:endnoteReference w:id="13" w:customMarkFollows="1"/>
        <w:t>[14]</w:t>
      </w:r>
      <w:r>
        <w:rPr>
          <w:rFonts w:hint="eastAsia"/>
          <w:sz w:val="24"/>
          <w:szCs w:val="24"/>
        </w:rPr>
        <w:t>与陈一洪（2015）</w:t>
      </w:r>
      <w:r>
        <w:rPr>
          <w:rStyle w:val="13"/>
          <w:sz w:val="24"/>
          <w:szCs w:val="24"/>
        </w:rPr>
        <w:endnoteReference w:id="14" w:customMarkFollows="1"/>
        <w:t>[15]</w:t>
      </w:r>
      <w:r>
        <w:rPr>
          <w:rFonts w:hint="eastAsia"/>
          <w:sz w:val="24"/>
          <w:szCs w:val="24"/>
        </w:rPr>
        <w:t>却提出了不同观点，前者以34家城市商业银行为研究对象，发现非利息收入对于提升城商行绩效具有显著的正向推动作用，后者使用国内</w:t>
      </w:r>
      <w:r>
        <w:rPr>
          <w:sz w:val="24"/>
          <w:szCs w:val="24"/>
        </w:rPr>
        <w:t>2</w:t>
      </w:r>
      <w:r>
        <w:rPr>
          <w:rFonts w:hint="eastAsia"/>
          <w:sz w:val="24"/>
          <w:szCs w:val="24"/>
        </w:rPr>
        <w:t>4家大型城商行</w:t>
      </w:r>
      <w:r>
        <w:rPr>
          <w:sz w:val="24"/>
          <w:szCs w:val="24"/>
        </w:rPr>
        <w:t>2009—2013</w:t>
      </w:r>
      <w:r>
        <w:rPr>
          <w:rFonts w:hint="eastAsia"/>
          <w:sz w:val="24"/>
          <w:szCs w:val="24"/>
        </w:rPr>
        <w:t>年的普通面板数据，实证分析表明非利息收入的增加有助于提升大型城商行经营绩效。</w:t>
      </w:r>
    </w:p>
    <w:p>
      <w:pPr>
        <w:ind w:firstLine="480" w:firstLineChars="200"/>
        <w:rPr>
          <w:color w:val="FF0000"/>
        </w:rPr>
      </w:pPr>
      <w:r>
        <w:rPr>
          <w:rFonts w:hint="eastAsia"/>
          <w:sz w:val="24"/>
          <w:szCs w:val="24"/>
        </w:rPr>
        <w:t>综上所述，对于非利息收入对商业银行绩效影响问题，国内外学者们没有得出一致的结论。商业银行究竟如何提高其绩效?非利息收入是否是关键要素?对这些问题的回答可能应该具体问题具体分析。因此本文以2014-2018年20家我国上市城商行和7家农商行的数据为样本，建立面板模型进行回归实证分析，探究非利息收入对上市城（农）商行绩效的影响及其影响的显著性，是本论文的现实意义所在。</w:t>
      </w:r>
    </w:p>
    <w:p>
      <w:pPr>
        <w:pStyle w:val="2"/>
        <w:adjustRightInd w:val="0"/>
        <w:snapToGrid w:val="0"/>
        <w:spacing w:before="120" w:after="120" w:line="240" w:lineRule="auto"/>
        <w:rPr>
          <w:sz w:val="28"/>
        </w:rPr>
      </w:pPr>
      <w:r>
        <w:rPr>
          <w:rFonts w:hint="eastAsia"/>
          <w:sz w:val="28"/>
        </w:rPr>
        <w:t>1.银行非利息收入与其绩效关系的理论分析</w:t>
      </w:r>
    </w:p>
    <w:p>
      <w:pPr>
        <w:rPr>
          <w:b/>
          <w:sz w:val="24"/>
          <w:szCs w:val="24"/>
        </w:rPr>
      </w:pPr>
      <w:r>
        <w:rPr>
          <w:rFonts w:hint="eastAsia"/>
          <w:b/>
          <w:sz w:val="24"/>
          <w:szCs w:val="24"/>
        </w:rPr>
        <w:t>1.1非利息收入与银行绩效关系的基础理论</w:t>
      </w:r>
    </w:p>
    <w:p>
      <w:pPr>
        <w:ind w:firstLine="420"/>
        <w:rPr>
          <w:sz w:val="24"/>
          <w:szCs w:val="24"/>
        </w:rPr>
      </w:pPr>
      <w:r>
        <w:rPr>
          <w:rFonts w:hint="eastAsia"/>
          <w:sz w:val="24"/>
          <w:szCs w:val="24"/>
        </w:rPr>
        <w:t>关于非利息收入与商业银行绩效关系的理论有以下三种，具体分析如下：</w:t>
      </w:r>
    </w:p>
    <w:p>
      <w:pPr>
        <w:pStyle w:val="22"/>
        <w:numPr>
          <w:ilvl w:val="0"/>
          <w:numId w:val="1"/>
        </w:numPr>
        <w:ind w:firstLineChars="0"/>
        <w:rPr>
          <w:sz w:val="24"/>
          <w:szCs w:val="24"/>
        </w:rPr>
      </w:pPr>
      <w:r>
        <w:rPr>
          <w:rFonts w:hint="eastAsia"/>
          <w:sz w:val="24"/>
          <w:szCs w:val="24"/>
        </w:rPr>
        <w:t>范围经济理论</w:t>
      </w:r>
    </w:p>
    <w:p>
      <w:pPr>
        <w:ind w:firstLine="480" w:firstLineChars="200"/>
        <w:rPr>
          <w:sz w:val="24"/>
          <w:szCs w:val="24"/>
        </w:rPr>
      </w:pPr>
      <w:r>
        <w:rPr>
          <w:rFonts w:hint="eastAsia"/>
          <w:sz w:val="24"/>
          <w:szCs w:val="24"/>
        </w:rPr>
        <w:t>根据范围经济理论可知，企业同时产生多种产品的成本比分别生产的要低，能够获取更好的经济效益。银行的利润主要来源于利息收入和非利息收入。银行在开展利息业务的同时推广非利息收入业务，使客户在办理一种业务的同时可以了解其他感兴趣的业务，而且两种业务同时进行可以共享工作人员与所能获取的客户信息，降低管理成本和信息搜寻成本。在成本降低的基础上，银行可以考虑给客户更加实惠的价格，增加客户的忠实度，为银行带来稳定的客户群，实现收入的稳定性，从而提高银行的效率。</w:t>
      </w:r>
    </w:p>
    <w:p>
      <w:pPr>
        <w:pStyle w:val="22"/>
        <w:numPr>
          <w:ilvl w:val="0"/>
          <w:numId w:val="1"/>
        </w:numPr>
        <w:ind w:firstLineChars="0"/>
        <w:rPr>
          <w:sz w:val="24"/>
          <w:szCs w:val="24"/>
        </w:rPr>
      </w:pPr>
      <w:r>
        <w:rPr>
          <w:rFonts w:hint="eastAsia"/>
          <w:sz w:val="24"/>
          <w:szCs w:val="24"/>
        </w:rPr>
        <w:t xml:space="preserve"> 规模经济理论</w:t>
      </w:r>
    </w:p>
    <w:p>
      <w:pPr>
        <w:ind w:firstLine="480" w:firstLineChars="200"/>
        <w:rPr>
          <w:sz w:val="24"/>
          <w:szCs w:val="24"/>
        </w:rPr>
      </w:pPr>
      <w:r>
        <w:rPr>
          <w:rFonts w:hint="eastAsia"/>
          <w:sz w:val="24"/>
          <w:szCs w:val="24"/>
        </w:rPr>
        <w:t>规模经济是通过扩大经营规模来降低单位成本。规模不同的银行对其经营效率的影响也是不同的，达到规模效应的银行，其边际成本是递减的。银行可以通过不断的培养金融人才，积极进行业务拓展和创新，提升服务水平与质量，实现银行规模的扩大。在实现了规模效应后，银行应大力发展无需占用太多自有资金的非利息收入业务，不仅能增加收入渠道降低收入的不稳定性，还能享受边际成本降低所带来的好处，从而提升整体利润水平。</w:t>
      </w:r>
    </w:p>
    <w:p>
      <w:pPr>
        <w:pStyle w:val="22"/>
        <w:numPr>
          <w:ilvl w:val="0"/>
          <w:numId w:val="1"/>
        </w:numPr>
        <w:ind w:firstLineChars="0"/>
        <w:rPr>
          <w:sz w:val="24"/>
          <w:szCs w:val="24"/>
        </w:rPr>
      </w:pPr>
      <w:r>
        <w:rPr>
          <w:rFonts w:hint="eastAsia"/>
          <w:sz w:val="24"/>
          <w:szCs w:val="24"/>
        </w:rPr>
        <w:t>资产组合理论</w:t>
      </w:r>
    </w:p>
    <w:p>
      <w:pPr>
        <w:ind w:firstLine="480" w:firstLineChars="200"/>
        <w:rPr>
          <w:sz w:val="24"/>
          <w:szCs w:val="24"/>
        </w:rPr>
      </w:pPr>
      <w:r>
        <w:rPr>
          <w:rFonts w:hint="eastAsia"/>
          <w:sz w:val="24"/>
          <w:szCs w:val="24"/>
        </w:rPr>
        <w:t>从资产组合理论的角度来看，银行通过开展非利息收入业务，实现了收入多元化，可以分散过于依赖单一收入模式所带来的风险。目前，在互联网金融和利率市场化的金融环境下，利息收入的波动性增大，扩展非利息收入业务可以降低利率波动对银行盈利稳定性的影响，减少对于存贷利差的依赖，起到分散风险作用。</w:t>
      </w:r>
    </w:p>
    <w:p>
      <w:pPr>
        <w:ind w:firstLine="480" w:firstLineChars="200"/>
        <w:rPr>
          <w:sz w:val="24"/>
          <w:szCs w:val="24"/>
        </w:rPr>
      </w:pPr>
      <w:r>
        <w:rPr>
          <w:rFonts w:hint="eastAsia"/>
          <w:sz w:val="24"/>
          <w:szCs w:val="24"/>
        </w:rPr>
        <w:t>综上所述，范围经济理论认为，开展各种非利息收入业务可丰富银行业务种类降低运营成本，在为客户提供更加多元化和人性化的服务的同时，增强客户的忠实度，提升银行的经营效率；资产组合理论认为，非利息收入业务和利息收入业务就似资产组合中两个相关性不强的资产，发展非利息收入业务可以增加收入来源，有利于提高银行绩效；而规模经济理论则认为，对规模不同的银行，非利息收入对其经营效率的影响也是不同的。对达到规模效应的银行，其边际影响是递减的，从而说明对不同规模的银行，其可能的影响是不同的。</w:t>
      </w:r>
    </w:p>
    <w:p>
      <w:pPr>
        <w:spacing w:beforeLines="50"/>
        <w:rPr>
          <w:b/>
          <w:sz w:val="24"/>
          <w:szCs w:val="24"/>
        </w:rPr>
      </w:pPr>
      <w:r>
        <w:rPr>
          <w:rFonts w:hint="eastAsia"/>
          <w:b/>
          <w:sz w:val="24"/>
          <w:szCs w:val="24"/>
        </w:rPr>
        <w:t>1.2商业银行绩效的影响因素</w:t>
      </w:r>
    </w:p>
    <w:p>
      <w:pPr>
        <w:ind w:firstLine="420"/>
        <w:rPr>
          <w:sz w:val="24"/>
          <w:szCs w:val="24"/>
        </w:rPr>
      </w:pPr>
      <w:r>
        <w:rPr>
          <w:rFonts w:hint="eastAsia"/>
          <w:sz w:val="24"/>
          <w:szCs w:val="24"/>
        </w:rPr>
        <w:t>根据以上理论分析，商业银行绩效的影响因素有：</w:t>
      </w:r>
    </w:p>
    <w:p>
      <w:pPr>
        <w:ind w:firstLine="420"/>
        <w:rPr>
          <w:sz w:val="24"/>
          <w:szCs w:val="24"/>
        </w:rPr>
      </w:pPr>
      <w:r>
        <w:rPr>
          <w:rFonts w:hint="eastAsia"/>
          <w:sz w:val="24"/>
          <w:szCs w:val="24"/>
        </w:rPr>
        <w:t>（1）非利息收入。非利息收入是商业银行另一收入来源。本文选择非利息收入占比和收入多元化两个指标来衡量银行的非利息收入；</w:t>
      </w:r>
    </w:p>
    <w:p>
      <w:pPr>
        <w:ind w:firstLine="420"/>
        <w:rPr>
          <w:sz w:val="24"/>
          <w:szCs w:val="24"/>
        </w:rPr>
      </w:pPr>
      <w:r>
        <w:rPr>
          <w:rFonts w:hint="eastAsia"/>
          <w:sz w:val="24"/>
          <w:szCs w:val="24"/>
        </w:rPr>
        <w:t>（2）银行的定价能力。议价能力较强的银行能够实现较好的存贷利差，压低成本，提高收入，提升利润空间。本文利用净息差和净利差来衡量银行的定价能力；</w:t>
      </w:r>
    </w:p>
    <w:p>
      <w:pPr>
        <w:ind w:firstLine="420"/>
        <w:rPr>
          <w:sz w:val="24"/>
          <w:szCs w:val="24"/>
        </w:rPr>
      </w:pPr>
      <w:r>
        <w:rPr>
          <w:rFonts w:hint="eastAsia"/>
          <w:sz w:val="24"/>
          <w:szCs w:val="24"/>
        </w:rPr>
        <w:t>（3）</w:t>
      </w:r>
      <w:r>
        <w:rPr>
          <w:sz w:val="24"/>
          <w:szCs w:val="24"/>
        </w:rPr>
        <w:t>成本控制能力</w:t>
      </w:r>
      <w:r>
        <w:rPr>
          <w:rFonts w:hint="eastAsia"/>
          <w:sz w:val="24"/>
          <w:szCs w:val="24"/>
        </w:rPr>
        <w:t>。同样的收入水平，成本控制较好的银行能够获得更多的利润，或者说能够在有限的成本下获取更多的收入，说明银行是有效率的。</w:t>
      </w:r>
      <w:r>
        <w:rPr>
          <w:sz w:val="24"/>
          <w:szCs w:val="24"/>
        </w:rPr>
        <w:t>成本收入比</w:t>
      </w:r>
      <w:r>
        <w:rPr>
          <w:rFonts w:hint="eastAsia"/>
          <w:sz w:val="24"/>
          <w:szCs w:val="24"/>
        </w:rPr>
        <w:t>反映了所取得的营业收入需要消耗多少营业成本，在一定程度上体现了银行的成本控制能力；</w:t>
      </w:r>
    </w:p>
    <w:p>
      <w:pPr>
        <w:ind w:firstLine="420"/>
        <w:rPr>
          <w:sz w:val="24"/>
          <w:szCs w:val="24"/>
        </w:rPr>
      </w:pPr>
      <w:r>
        <w:rPr>
          <w:rFonts w:hint="eastAsia"/>
          <w:sz w:val="24"/>
          <w:szCs w:val="24"/>
        </w:rPr>
        <w:t>（4）股东</w:t>
      </w:r>
      <w:r>
        <w:rPr>
          <w:sz w:val="24"/>
          <w:szCs w:val="24"/>
        </w:rPr>
        <w:t>权益</w:t>
      </w:r>
      <w:r>
        <w:rPr>
          <w:rFonts w:hint="eastAsia"/>
          <w:sz w:val="24"/>
          <w:szCs w:val="24"/>
        </w:rPr>
        <w:t>。股东权益是银行资金来源之一，银行可以合理利用这部分资金去创造收益，而且股东权益可降低银行倒闭的风险。权益比</w:t>
      </w:r>
      <w:r>
        <w:rPr>
          <w:sz w:val="24"/>
          <w:szCs w:val="24"/>
        </w:rPr>
        <w:t>应当适中</w:t>
      </w:r>
      <w:r>
        <w:rPr>
          <w:rFonts w:hint="eastAsia"/>
          <w:sz w:val="24"/>
          <w:szCs w:val="24"/>
        </w:rPr>
        <w:t>，</w:t>
      </w:r>
      <w:r>
        <w:rPr>
          <w:sz w:val="24"/>
          <w:szCs w:val="24"/>
        </w:rPr>
        <w:t>如果权益比过小，表明企业过度负债，容易削弱公司抵御外部冲击的能力</w:t>
      </w:r>
      <w:r>
        <w:rPr>
          <w:rFonts w:hint="eastAsia"/>
          <w:sz w:val="24"/>
          <w:szCs w:val="24"/>
        </w:rPr>
        <w:t>，如果过大，</w:t>
      </w:r>
      <w:r>
        <w:rPr>
          <w:sz w:val="24"/>
          <w:szCs w:val="24"/>
        </w:rPr>
        <w:t>意味着企业没有积极地利用财务杠杆作用来扩大经营规模；</w:t>
      </w:r>
    </w:p>
    <w:p>
      <w:pPr>
        <w:ind w:firstLine="420"/>
        <w:rPr>
          <w:sz w:val="24"/>
          <w:szCs w:val="24"/>
        </w:rPr>
      </w:pPr>
      <w:r>
        <w:rPr>
          <w:rFonts w:hint="eastAsia"/>
          <w:sz w:val="24"/>
          <w:szCs w:val="24"/>
        </w:rPr>
        <w:t>（5）</w:t>
      </w:r>
      <w:r>
        <w:rPr>
          <w:sz w:val="24"/>
          <w:szCs w:val="24"/>
        </w:rPr>
        <w:t>资产规模</w:t>
      </w:r>
      <w:r>
        <w:rPr>
          <w:rFonts w:hint="eastAsia"/>
          <w:sz w:val="24"/>
          <w:szCs w:val="24"/>
        </w:rPr>
        <w:t>。</w:t>
      </w:r>
      <w:r>
        <w:rPr>
          <w:sz w:val="24"/>
          <w:szCs w:val="24"/>
        </w:rPr>
        <w:t>资产规模对银行的经营风险和业务范围都有一定的影响</w:t>
      </w:r>
      <w:r>
        <w:rPr>
          <w:rFonts w:hint="eastAsia"/>
          <w:sz w:val="24"/>
          <w:szCs w:val="24"/>
        </w:rPr>
        <w:t>，</w:t>
      </w:r>
      <w:r>
        <w:rPr>
          <w:sz w:val="24"/>
          <w:szCs w:val="24"/>
        </w:rPr>
        <w:t>较大的资产规模可使银行实现规模效应</w:t>
      </w:r>
      <w:r>
        <w:rPr>
          <w:rFonts w:hint="eastAsia"/>
          <w:sz w:val="24"/>
          <w:szCs w:val="24"/>
        </w:rPr>
        <w:t>，</w:t>
      </w:r>
      <w:r>
        <w:rPr>
          <w:sz w:val="24"/>
          <w:szCs w:val="24"/>
        </w:rPr>
        <w:t>在发展业务时可降低成本</w:t>
      </w:r>
      <w:r>
        <w:rPr>
          <w:rFonts w:hint="eastAsia"/>
          <w:sz w:val="24"/>
          <w:szCs w:val="24"/>
        </w:rPr>
        <w:t>，</w:t>
      </w:r>
      <w:r>
        <w:rPr>
          <w:sz w:val="24"/>
          <w:szCs w:val="24"/>
        </w:rPr>
        <w:t>实现较好的经济效益</w:t>
      </w:r>
      <w:r>
        <w:rPr>
          <w:rFonts w:hint="eastAsia"/>
          <w:sz w:val="24"/>
          <w:szCs w:val="24"/>
        </w:rPr>
        <w:t>；</w:t>
      </w:r>
    </w:p>
    <w:p>
      <w:pPr>
        <w:ind w:firstLine="420"/>
        <w:rPr>
          <w:sz w:val="24"/>
          <w:szCs w:val="24"/>
        </w:rPr>
      </w:pPr>
      <w:r>
        <w:rPr>
          <w:rFonts w:hint="eastAsia"/>
          <w:sz w:val="24"/>
          <w:szCs w:val="24"/>
        </w:rPr>
        <w:t>（6）经营风险。面对较大经营风险的银行，其收入可能会产生较大的波动，客户对银行的忠诚度可能也会降低，使得银行绩效恶化。</w:t>
      </w:r>
      <w:r>
        <w:rPr>
          <w:sz w:val="24"/>
          <w:szCs w:val="24"/>
        </w:rPr>
        <w:t>资本充足率是保证银行等金融机构正常运营和发展所必需的资本比率</w:t>
      </w:r>
      <w:r>
        <w:rPr>
          <w:rFonts w:hint="eastAsia"/>
          <w:sz w:val="24"/>
          <w:szCs w:val="24"/>
        </w:rPr>
        <w:t>，</w:t>
      </w:r>
      <w:r>
        <w:rPr>
          <w:sz w:val="24"/>
          <w:szCs w:val="24"/>
        </w:rPr>
        <w:t>在一定程度上体现银行经营的风险</w:t>
      </w:r>
      <w:r>
        <w:rPr>
          <w:rFonts w:hint="eastAsia"/>
          <w:sz w:val="24"/>
          <w:szCs w:val="24"/>
        </w:rPr>
        <w:t>，</w:t>
      </w:r>
      <w:r>
        <w:rPr>
          <w:sz w:val="24"/>
          <w:szCs w:val="24"/>
        </w:rPr>
        <w:t>因此将其作为衡量指标</w:t>
      </w:r>
      <w:r>
        <w:rPr>
          <w:rFonts w:hint="eastAsia"/>
          <w:sz w:val="24"/>
          <w:szCs w:val="24"/>
        </w:rPr>
        <w:t>；</w:t>
      </w:r>
    </w:p>
    <w:p>
      <w:pPr>
        <w:ind w:firstLine="420"/>
        <w:rPr>
          <w:sz w:val="24"/>
          <w:szCs w:val="24"/>
        </w:rPr>
      </w:pPr>
      <w:r>
        <w:rPr>
          <w:rFonts w:hint="eastAsia"/>
          <w:sz w:val="24"/>
          <w:szCs w:val="24"/>
        </w:rPr>
        <w:t>（7）宏观环境因素。银行的绩效在一定程度上会随宏观经济形势的波动而变动。在目前背景下，互联网金融发展对银行的传统业务造成了较大的冲击，分流了银行的存贷业务，使得银行的利润空间收窄。本文选取</w:t>
      </w:r>
      <w:r>
        <w:rPr>
          <w:rFonts w:hint="eastAsia" w:ascii="宋体" w:hAnsi="宋体" w:eastAsia="宋体" w:cs="宋体"/>
          <w:kern w:val="0"/>
          <w:sz w:val="24"/>
          <w:szCs w:val="24"/>
        </w:rPr>
        <w:t>国内生产总值</w:t>
      </w:r>
      <w:r>
        <w:rPr>
          <w:rFonts w:hint="eastAsia"/>
          <w:sz w:val="24"/>
          <w:szCs w:val="24"/>
        </w:rPr>
        <w:t>和互联网金融指数两个指标反映宏观环境因素。</w:t>
      </w:r>
    </w:p>
    <w:p>
      <w:pPr>
        <w:pStyle w:val="3"/>
        <w:spacing w:beforeLines="50" w:after="0" w:line="240" w:lineRule="auto"/>
        <w:rPr>
          <w:sz w:val="24"/>
          <w:szCs w:val="24"/>
        </w:rPr>
      </w:pPr>
      <w:r>
        <w:rPr>
          <w:rFonts w:hint="eastAsia"/>
          <w:sz w:val="24"/>
          <w:szCs w:val="24"/>
        </w:rPr>
        <w:t>1.3银行绩效指标的度量</w:t>
      </w:r>
    </w:p>
    <w:p>
      <w:pPr>
        <w:ind w:firstLine="480" w:firstLineChars="200"/>
      </w:pPr>
      <w:r>
        <w:rPr>
          <w:rFonts w:hint="eastAsia"/>
          <w:sz w:val="24"/>
        </w:rPr>
        <w:t>银行绩效一般是指银行在经营活动中的效率，对于商业银行这类以获取利润为目的的企业，衡量其经营绩效的最好指标是盈利性指标，即考察其经营过程中的盈利能力；同时考虑到企业经营的最大宗旨是实现股东权益最大化，也就意味着要增大股东资本的使用效率。因此综合考虑，本文将净资产收益率作为银行绩效的度量指标。</w:t>
      </w:r>
    </w:p>
    <w:p>
      <w:pPr>
        <w:pStyle w:val="2"/>
        <w:adjustRightInd w:val="0"/>
        <w:snapToGrid w:val="0"/>
        <w:spacing w:before="120" w:after="120" w:line="240" w:lineRule="auto"/>
        <w:rPr>
          <w:sz w:val="28"/>
        </w:rPr>
      </w:pPr>
      <w:r>
        <w:rPr>
          <w:rFonts w:hint="eastAsia"/>
          <w:sz w:val="32"/>
        </w:rPr>
        <w:t>2.</w:t>
      </w:r>
      <w:r>
        <w:rPr>
          <w:rFonts w:hint="eastAsia"/>
          <w:sz w:val="28"/>
        </w:rPr>
        <w:t>变量选取与模型确定</w:t>
      </w:r>
    </w:p>
    <w:p>
      <w:pPr>
        <w:pStyle w:val="3"/>
        <w:spacing w:before="0" w:after="0" w:line="240" w:lineRule="auto"/>
        <w:rPr>
          <w:sz w:val="24"/>
          <w:szCs w:val="24"/>
        </w:rPr>
      </w:pPr>
      <w:r>
        <w:rPr>
          <w:rFonts w:hint="eastAsia"/>
          <w:sz w:val="24"/>
          <w:szCs w:val="24"/>
        </w:rPr>
        <w:t>2.1样本的选取和数据来源</w:t>
      </w:r>
    </w:p>
    <w:p>
      <w:pPr>
        <w:ind w:firstLine="480" w:firstLineChars="200"/>
        <w:rPr>
          <w:sz w:val="24"/>
        </w:rPr>
      </w:pPr>
      <w:r>
        <w:rPr>
          <w:rFonts w:hint="eastAsia"/>
          <w:sz w:val="24"/>
        </w:rPr>
        <w:t>本文选取所有上市城（农）商行作为样本，剔除数据缺失的样本，一共有20家城商行，7家农商行。样本的数据均来自于同花顺和各个银行的年报，且都是年度数据，样本数据的时间跨度为2014-2018年。</w:t>
      </w:r>
    </w:p>
    <w:p>
      <w:pPr>
        <w:pStyle w:val="3"/>
        <w:spacing w:beforeLines="50" w:after="0" w:line="240" w:lineRule="auto"/>
        <w:rPr>
          <w:sz w:val="24"/>
          <w:szCs w:val="24"/>
        </w:rPr>
      </w:pPr>
      <w:r>
        <w:rPr>
          <w:rFonts w:hint="eastAsia"/>
          <w:sz w:val="24"/>
          <w:szCs w:val="24"/>
        </w:rPr>
        <w:t>2.2变量的选取与说明</w:t>
      </w:r>
    </w:p>
    <w:p>
      <w:pPr>
        <w:ind w:firstLine="480" w:firstLineChars="200"/>
        <w:rPr>
          <w:sz w:val="24"/>
        </w:rPr>
      </w:pPr>
      <w:r>
        <w:rPr>
          <w:rFonts w:hint="eastAsia"/>
          <w:sz w:val="24"/>
        </w:rPr>
        <w:t>根据以上理论分析，本文在主要变量选取上，将净资产收益率作为衡量银行绩效的指标，非利息收入占比和收入多元化指数作为解释变量，选取了6个财务指标和2个宏观层面的因素作为控制变量。具体见表1。</w:t>
      </w:r>
    </w:p>
    <w:p>
      <w:pPr>
        <w:pStyle w:val="3"/>
        <w:spacing w:beforeLines="50" w:after="0" w:line="240" w:lineRule="auto"/>
        <w:rPr>
          <w:sz w:val="24"/>
          <w:szCs w:val="24"/>
        </w:rPr>
      </w:pPr>
      <w:r>
        <w:rPr>
          <w:rFonts w:hint="eastAsia"/>
          <w:sz w:val="24"/>
          <w:szCs w:val="24"/>
        </w:rPr>
        <w:t>2.3模型构建</w:t>
      </w:r>
    </w:p>
    <w:p>
      <w:pPr>
        <w:ind w:firstLine="480" w:firstLineChars="200"/>
        <w:rPr>
          <w:sz w:val="24"/>
        </w:rPr>
      </w:pPr>
      <w:r>
        <w:rPr>
          <w:rFonts w:hint="eastAsia"/>
          <w:sz w:val="24"/>
        </w:rPr>
        <w:t>为了研究非利息收入对上市城（农）商行绩效的影响，本文运用面板数据进行回归分析，并且考虑到非利息收入占比与收入多元化指数可能存在共线性，所以将这两个解释变量分开建立两个模型进行实证分析，回归模型的具体形式如下：</w:t>
      </w:r>
    </w:p>
    <w:p>
      <w:pPr>
        <w:ind w:firstLine="420"/>
        <w:rPr>
          <w:sz w:val="24"/>
        </w:rPr>
      </w:pPr>
      <w:r>
        <w:rPr>
          <w:sz w:val="24"/>
        </w:rPr>
        <w:t>模型</w:t>
      </w:r>
      <w:r>
        <w:rPr>
          <w:rFonts w:hint="eastAsia"/>
          <w:sz w:val="24"/>
        </w:rPr>
        <w:t>（1）：</w:t>
      </w:r>
      <w:r>
        <w:rPr>
          <w:sz w:val="24"/>
        </w:rPr>
        <w:t>ROE</w:t>
      </w:r>
      <w:r>
        <w:rPr>
          <w:sz w:val="24"/>
          <w:vertAlign w:val="subscript"/>
        </w:rPr>
        <w:t>it</w:t>
      </w:r>
      <w:r>
        <w:rPr>
          <w:sz w:val="24"/>
        </w:rPr>
        <w:t>=</w:t>
      </w:r>
      <w:r>
        <w:rPr>
          <w:rFonts w:hint="eastAsia"/>
          <w:sz w:val="24"/>
        </w:rPr>
        <w:t>α</w:t>
      </w:r>
      <w:r>
        <w:rPr>
          <w:sz w:val="24"/>
          <w:vertAlign w:val="subscript"/>
        </w:rPr>
        <w:t>it</w:t>
      </w:r>
      <w:r>
        <w:rPr>
          <w:sz w:val="24"/>
        </w:rPr>
        <w:t>+</w:t>
      </w:r>
      <w:r>
        <w:rPr>
          <w:rFonts w:hint="eastAsia"/>
          <w:sz w:val="24"/>
        </w:rPr>
        <w:t>δ</w:t>
      </w:r>
      <w:r>
        <w:rPr>
          <w:sz w:val="24"/>
          <w:vertAlign w:val="subscript"/>
        </w:rPr>
        <w:t>1</w:t>
      </w:r>
      <w:r>
        <w:rPr>
          <w:sz w:val="24"/>
        </w:rPr>
        <w:t>NII</w:t>
      </w:r>
      <w:r>
        <w:rPr>
          <w:sz w:val="24"/>
          <w:vertAlign w:val="subscript"/>
        </w:rPr>
        <w:t>it</w:t>
      </w:r>
      <w:r>
        <w:rPr>
          <w:sz w:val="24"/>
        </w:rPr>
        <w:t>+</w:t>
      </w:r>
      <w:r>
        <w:rPr>
          <w:rFonts w:hint="eastAsia"/>
          <w:sz w:val="24"/>
        </w:rPr>
        <w:t>δ</w:t>
      </w:r>
      <w:r>
        <w:rPr>
          <w:rFonts w:hint="eastAsia"/>
          <w:sz w:val="24"/>
          <w:vertAlign w:val="subscript"/>
        </w:rPr>
        <w:t>2</w:t>
      </w:r>
      <w:r>
        <w:rPr>
          <w:rFonts w:hint="eastAsia"/>
          <w:sz w:val="24"/>
        </w:rPr>
        <w:t>NIM</w:t>
      </w:r>
      <w:r>
        <w:rPr>
          <w:sz w:val="24"/>
          <w:vertAlign w:val="subscript"/>
        </w:rPr>
        <w:t>it</w:t>
      </w:r>
      <w:r>
        <w:rPr>
          <w:sz w:val="24"/>
        </w:rPr>
        <w:t>+</w:t>
      </w:r>
      <w:r>
        <w:rPr>
          <w:rFonts w:hint="eastAsia"/>
          <w:sz w:val="24"/>
        </w:rPr>
        <w:t>δ</w:t>
      </w:r>
      <w:r>
        <w:rPr>
          <w:rFonts w:hint="eastAsia"/>
          <w:sz w:val="24"/>
          <w:vertAlign w:val="subscript"/>
        </w:rPr>
        <w:t>3</w:t>
      </w:r>
      <w:r>
        <w:rPr>
          <w:rFonts w:hint="eastAsia"/>
          <w:sz w:val="24"/>
        </w:rPr>
        <w:t>NIS</w:t>
      </w:r>
      <w:r>
        <w:rPr>
          <w:sz w:val="24"/>
          <w:vertAlign w:val="subscript"/>
        </w:rPr>
        <w:t>it</w:t>
      </w:r>
      <w:r>
        <w:rPr>
          <w:sz w:val="24"/>
        </w:rPr>
        <w:t>+</w:t>
      </w:r>
      <w:r>
        <w:rPr>
          <w:rFonts w:hint="eastAsia"/>
          <w:sz w:val="24"/>
        </w:rPr>
        <w:t>δ</w:t>
      </w:r>
      <w:r>
        <w:rPr>
          <w:rFonts w:hint="eastAsia"/>
          <w:sz w:val="24"/>
          <w:vertAlign w:val="subscript"/>
        </w:rPr>
        <w:t>4</w:t>
      </w:r>
      <w:r>
        <w:rPr>
          <w:rFonts w:hint="eastAsia"/>
          <w:sz w:val="24"/>
        </w:rPr>
        <w:t>COSTINC</w:t>
      </w:r>
      <w:r>
        <w:rPr>
          <w:sz w:val="24"/>
          <w:vertAlign w:val="subscript"/>
        </w:rPr>
        <w:t>it</w:t>
      </w:r>
      <w:r>
        <w:rPr>
          <w:sz w:val="24"/>
        </w:rPr>
        <w:t>+</w:t>
      </w:r>
      <w:r>
        <w:rPr>
          <w:rFonts w:hint="eastAsia"/>
          <w:sz w:val="24"/>
        </w:rPr>
        <w:t>δ</w:t>
      </w:r>
      <w:r>
        <w:rPr>
          <w:rFonts w:hint="eastAsia"/>
          <w:sz w:val="24"/>
          <w:vertAlign w:val="subscript"/>
        </w:rPr>
        <w:t>5</w:t>
      </w:r>
      <w:r>
        <w:rPr>
          <w:rFonts w:hint="eastAsia"/>
          <w:sz w:val="24"/>
        </w:rPr>
        <w:t>EA</w:t>
      </w:r>
      <w:r>
        <w:rPr>
          <w:sz w:val="24"/>
          <w:vertAlign w:val="subscript"/>
        </w:rPr>
        <w:t>it</w:t>
      </w:r>
      <w:r>
        <w:rPr>
          <w:sz w:val="24"/>
        </w:rPr>
        <w:t>+</w:t>
      </w:r>
      <w:r>
        <w:rPr>
          <w:rFonts w:hint="eastAsia"/>
          <w:sz w:val="24"/>
        </w:rPr>
        <w:t>δ</w:t>
      </w:r>
      <w:r>
        <w:rPr>
          <w:rFonts w:hint="eastAsia"/>
          <w:sz w:val="24"/>
          <w:vertAlign w:val="subscript"/>
        </w:rPr>
        <w:t>6</w:t>
      </w:r>
      <w:r>
        <w:rPr>
          <w:rFonts w:hint="eastAsia"/>
          <w:sz w:val="24"/>
        </w:rPr>
        <w:t>CAR</w:t>
      </w:r>
      <w:r>
        <w:rPr>
          <w:sz w:val="24"/>
          <w:vertAlign w:val="subscript"/>
        </w:rPr>
        <w:t>it</w:t>
      </w:r>
      <w:r>
        <w:rPr>
          <w:sz w:val="24"/>
        </w:rPr>
        <w:t>+</w:t>
      </w:r>
      <w:r>
        <w:rPr>
          <w:rFonts w:hint="eastAsia"/>
          <w:sz w:val="24"/>
        </w:rPr>
        <w:t>δ</w:t>
      </w:r>
      <w:r>
        <w:rPr>
          <w:rFonts w:hint="eastAsia"/>
          <w:sz w:val="24"/>
          <w:vertAlign w:val="subscript"/>
        </w:rPr>
        <w:t>7</w:t>
      </w:r>
      <w:r>
        <w:rPr>
          <w:rFonts w:hint="eastAsia"/>
          <w:sz w:val="24"/>
        </w:rPr>
        <w:t>TA</w:t>
      </w:r>
      <w:r>
        <w:rPr>
          <w:rFonts w:hint="eastAsia"/>
          <w:sz w:val="24"/>
          <w:vertAlign w:val="subscript"/>
        </w:rPr>
        <w:t>it</w:t>
      </w:r>
      <w:r>
        <w:rPr>
          <w:rFonts w:hint="eastAsia"/>
          <w:sz w:val="24"/>
        </w:rPr>
        <w:t>+δ</w:t>
      </w:r>
      <w:r>
        <w:rPr>
          <w:rFonts w:hint="eastAsia"/>
          <w:sz w:val="24"/>
          <w:vertAlign w:val="subscript"/>
        </w:rPr>
        <w:t>8</w:t>
      </w:r>
      <w:r>
        <w:rPr>
          <w:rFonts w:hint="eastAsia"/>
          <w:sz w:val="24"/>
        </w:rPr>
        <w:t>IFDI</w:t>
      </w:r>
      <w:r>
        <w:rPr>
          <w:rFonts w:hint="eastAsia"/>
          <w:sz w:val="24"/>
          <w:vertAlign w:val="subscript"/>
        </w:rPr>
        <w:t>it</w:t>
      </w:r>
      <w:r>
        <w:rPr>
          <w:rFonts w:hint="eastAsia"/>
          <w:sz w:val="24"/>
        </w:rPr>
        <w:t>+δ</w:t>
      </w:r>
      <w:r>
        <w:rPr>
          <w:rFonts w:hint="eastAsia"/>
          <w:sz w:val="24"/>
          <w:vertAlign w:val="subscript"/>
        </w:rPr>
        <w:t>9</w:t>
      </w:r>
      <w:r>
        <w:rPr>
          <w:rFonts w:hint="eastAsia"/>
          <w:sz w:val="24"/>
        </w:rPr>
        <w:t>GDP</w:t>
      </w:r>
      <w:r>
        <w:rPr>
          <w:rFonts w:hint="eastAsia"/>
          <w:sz w:val="24"/>
          <w:vertAlign w:val="subscript"/>
        </w:rPr>
        <w:t>it</w:t>
      </w:r>
      <w:r>
        <w:rPr>
          <w:rFonts w:hint="eastAsia"/>
          <w:sz w:val="24"/>
        </w:rPr>
        <w:t>+ε</w:t>
      </w:r>
      <w:r>
        <w:rPr>
          <w:sz w:val="24"/>
          <w:vertAlign w:val="subscript"/>
        </w:rPr>
        <w:t>it</w:t>
      </w:r>
      <w:r>
        <w:rPr>
          <w:rFonts w:hint="eastAsia"/>
          <w:sz w:val="24"/>
        </w:rPr>
        <w:t xml:space="preserve">                                </w:t>
      </w:r>
    </w:p>
    <w:p>
      <w:pPr>
        <w:ind w:firstLine="420"/>
        <w:rPr>
          <w:sz w:val="24"/>
        </w:rPr>
      </w:pPr>
      <w:r>
        <w:rPr>
          <w:sz w:val="24"/>
        </w:rPr>
        <w:t>模型</w:t>
      </w:r>
      <w:r>
        <w:rPr>
          <w:rFonts w:hint="eastAsia"/>
          <w:sz w:val="24"/>
        </w:rPr>
        <w:t>（2）</w:t>
      </w:r>
      <w:r>
        <w:rPr>
          <w:sz w:val="24"/>
        </w:rPr>
        <w:t>ROE</w:t>
      </w:r>
      <w:r>
        <w:rPr>
          <w:sz w:val="24"/>
          <w:vertAlign w:val="subscript"/>
        </w:rPr>
        <w:t>it</w:t>
      </w:r>
      <w:r>
        <w:rPr>
          <w:sz w:val="24"/>
        </w:rPr>
        <w:t>=</w:t>
      </w:r>
      <w:r>
        <w:rPr>
          <w:rFonts w:hint="eastAsia"/>
          <w:sz w:val="24"/>
        </w:rPr>
        <w:t>α</w:t>
      </w:r>
      <w:r>
        <w:rPr>
          <w:sz w:val="24"/>
          <w:vertAlign w:val="subscript"/>
        </w:rPr>
        <w:t>it</w:t>
      </w:r>
      <w:r>
        <w:rPr>
          <w:sz w:val="24"/>
        </w:rPr>
        <w:t>+</w:t>
      </w:r>
      <w:r>
        <w:rPr>
          <w:rFonts w:hint="eastAsia"/>
          <w:sz w:val="24"/>
        </w:rPr>
        <w:t>δ</w:t>
      </w:r>
      <w:r>
        <w:rPr>
          <w:rFonts w:hint="eastAsia"/>
          <w:sz w:val="24"/>
          <w:vertAlign w:val="subscript"/>
        </w:rPr>
        <w:t>1</w:t>
      </w:r>
      <w:r>
        <w:rPr>
          <w:rFonts w:hint="eastAsia"/>
          <w:sz w:val="24"/>
        </w:rPr>
        <w:t>DIV</w:t>
      </w:r>
      <w:r>
        <w:rPr>
          <w:sz w:val="24"/>
          <w:vertAlign w:val="subscript"/>
        </w:rPr>
        <w:t>it</w:t>
      </w:r>
      <w:r>
        <w:rPr>
          <w:sz w:val="24"/>
        </w:rPr>
        <w:t>+</w:t>
      </w:r>
      <w:r>
        <w:rPr>
          <w:rFonts w:hint="eastAsia"/>
          <w:sz w:val="24"/>
        </w:rPr>
        <w:t>δ</w:t>
      </w:r>
      <w:r>
        <w:rPr>
          <w:rFonts w:hint="eastAsia"/>
          <w:sz w:val="24"/>
          <w:vertAlign w:val="subscript"/>
        </w:rPr>
        <w:t>2</w:t>
      </w:r>
      <w:r>
        <w:rPr>
          <w:rFonts w:hint="eastAsia"/>
          <w:sz w:val="24"/>
        </w:rPr>
        <w:t>NIM</w:t>
      </w:r>
      <w:r>
        <w:rPr>
          <w:sz w:val="24"/>
          <w:vertAlign w:val="subscript"/>
        </w:rPr>
        <w:t>it</w:t>
      </w:r>
      <w:r>
        <w:rPr>
          <w:sz w:val="24"/>
        </w:rPr>
        <w:t>+</w:t>
      </w:r>
      <w:r>
        <w:rPr>
          <w:rFonts w:hint="eastAsia"/>
          <w:sz w:val="24"/>
        </w:rPr>
        <w:t>δ</w:t>
      </w:r>
      <w:r>
        <w:rPr>
          <w:rFonts w:hint="eastAsia"/>
          <w:sz w:val="24"/>
          <w:vertAlign w:val="subscript"/>
        </w:rPr>
        <w:t>3</w:t>
      </w:r>
      <w:r>
        <w:rPr>
          <w:rFonts w:hint="eastAsia"/>
          <w:sz w:val="24"/>
        </w:rPr>
        <w:t>NIS</w:t>
      </w:r>
      <w:r>
        <w:rPr>
          <w:sz w:val="24"/>
          <w:vertAlign w:val="subscript"/>
        </w:rPr>
        <w:t>it</w:t>
      </w:r>
      <w:r>
        <w:rPr>
          <w:sz w:val="24"/>
        </w:rPr>
        <w:t>+</w:t>
      </w:r>
      <w:r>
        <w:rPr>
          <w:rFonts w:hint="eastAsia"/>
          <w:sz w:val="24"/>
        </w:rPr>
        <w:t>δ</w:t>
      </w:r>
      <w:r>
        <w:rPr>
          <w:rFonts w:hint="eastAsia"/>
          <w:sz w:val="24"/>
          <w:vertAlign w:val="subscript"/>
        </w:rPr>
        <w:t>4</w:t>
      </w:r>
      <w:r>
        <w:rPr>
          <w:rFonts w:hint="eastAsia"/>
          <w:sz w:val="24"/>
        </w:rPr>
        <w:t>COSTINC</w:t>
      </w:r>
      <w:r>
        <w:rPr>
          <w:sz w:val="24"/>
          <w:vertAlign w:val="subscript"/>
        </w:rPr>
        <w:t>it</w:t>
      </w:r>
      <w:r>
        <w:rPr>
          <w:sz w:val="24"/>
        </w:rPr>
        <w:t>+</w:t>
      </w:r>
      <w:r>
        <w:rPr>
          <w:rFonts w:hint="eastAsia"/>
          <w:sz w:val="24"/>
        </w:rPr>
        <w:t>δ</w:t>
      </w:r>
      <w:r>
        <w:rPr>
          <w:rFonts w:hint="eastAsia"/>
          <w:sz w:val="24"/>
          <w:vertAlign w:val="subscript"/>
        </w:rPr>
        <w:t>5</w:t>
      </w:r>
      <w:r>
        <w:rPr>
          <w:rFonts w:hint="eastAsia"/>
          <w:sz w:val="24"/>
        </w:rPr>
        <w:t>EA</w:t>
      </w:r>
      <w:r>
        <w:rPr>
          <w:sz w:val="24"/>
          <w:vertAlign w:val="subscript"/>
        </w:rPr>
        <w:t>it</w:t>
      </w:r>
      <w:r>
        <w:rPr>
          <w:sz w:val="24"/>
        </w:rPr>
        <w:t>+</w:t>
      </w:r>
      <w:r>
        <w:rPr>
          <w:rFonts w:hint="eastAsia"/>
          <w:sz w:val="24"/>
        </w:rPr>
        <w:t>δ</w:t>
      </w:r>
      <w:r>
        <w:rPr>
          <w:rFonts w:hint="eastAsia"/>
          <w:sz w:val="24"/>
          <w:vertAlign w:val="subscript"/>
        </w:rPr>
        <w:t>6</w:t>
      </w:r>
      <w:r>
        <w:rPr>
          <w:rFonts w:hint="eastAsia"/>
          <w:sz w:val="24"/>
        </w:rPr>
        <w:t>CAR</w:t>
      </w:r>
      <w:r>
        <w:rPr>
          <w:sz w:val="24"/>
          <w:vertAlign w:val="subscript"/>
        </w:rPr>
        <w:t>it</w:t>
      </w:r>
      <w:r>
        <w:rPr>
          <w:sz w:val="24"/>
        </w:rPr>
        <w:t>+</w:t>
      </w:r>
      <w:r>
        <w:rPr>
          <w:rFonts w:hint="eastAsia"/>
          <w:sz w:val="24"/>
        </w:rPr>
        <w:t>δ</w:t>
      </w:r>
      <w:r>
        <w:rPr>
          <w:rFonts w:hint="eastAsia"/>
          <w:sz w:val="24"/>
          <w:vertAlign w:val="subscript"/>
        </w:rPr>
        <w:t>7</w:t>
      </w:r>
      <w:r>
        <w:rPr>
          <w:rFonts w:hint="eastAsia"/>
          <w:sz w:val="24"/>
        </w:rPr>
        <w:t>TA</w:t>
      </w:r>
      <w:r>
        <w:rPr>
          <w:rFonts w:hint="eastAsia"/>
          <w:sz w:val="24"/>
          <w:vertAlign w:val="subscript"/>
        </w:rPr>
        <w:t>it</w:t>
      </w:r>
      <w:r>
        <w:rPr>
          <w:rFonts w:hint="eastAsia"/>
          <w:sz w:val="24"/>
        </w:rPr>
        <w:t>+δ</w:t>
      </w:r>
      <w:r>
        <w:rPr>
          <w:rFonts w:hint="eastAsia"/>
          <w:sz w:val="24"/>
          <w:vertAlign w:val="subscript"/>
        </w:rPr>
        <w:t>8</w:t>
      </w:r>
      <w:r>
        <w:rPr>
          <w:rFonts w:hint="eastAsia"/>
          <w:sz w:val="24"/>
        </w:rPr>
        <w:t>IFDI</w:t>
      </w:r>
      <w:r>
        <w:rPr>
          <w:rFonts w:hint="eastAsia"/>
          <w:sz w:val="24"/>
          <w:vertAlign w:val="subscript"/>
        </w:rPr>
        <w:t>it</w:t>
      </w:r>
      <w:r>
        <w:rPr>
          <w:rFonts w:hint="eastAsia"/>
          <w:sz w:val="24"/>
        </w:rPr>
        <w:t>+δ</w:t>
      </w:r>
      <w:r>
        <w:rPr>
          <w:rFonts w:hint="eastAsia"/>
          <w:sz w:val="24"/>
          <w:vertAlign w:val="subscript"/>
        </w:rPr>
        <w:t>9</w:t>
      </w:r>
      <w:r>
        <w:rPr>
          <w:rFonts w:hint="eastAsia"/>
          <w:sz w:val="24"/>
        </w:rPr>
        <w:t>GDP</w:t>
      </w:r>
      <w:r>
        <w:rPr>
          <w:rFonts w:hint="eastAsia"/>
          <w:sz w:val="24"/>
          <w:vertAlign w:val="subscript"/>
        </w:rPr>
        <w:t>it</w:t>
      </w:r>
      <w:r>
        <w:rPr>
          <w:rFonts w:hint="eastAsia"/>
          <w:sz w:val="24"/>
        </w:rPr>
        <w:t>+ε</w:t>
      </w:r>
      <w:r>
        <w:rPr>
          <w:sz w:val="24"/>
          <w:vertAlign w:val="subscript"/>
        </w:rPr>
        <w:t>it</w:t>
      </w:r>
      <w:r>
        <w:rPr>
          <w:rFonts w:hint="eastAsia"/>
          <w:sz w:val="24"/>
        </w:rPr>
        <w:t xml:space="preserve">       </w:t>
      </w:r>
    </w:p>
    <w:p>
      <w:pPr>
        <w:ind w:firstLine="420" w:firstLineChars="200"/>
      </w:pPr>
    </w:p>
    <w:p>
      <w:pPr>
        <w:jc w:val="center"/>
        <w:rPr>
          <w:sz w:val="18"/>
          <w:szCs w:val="18"/>
        </w:rPr>
      </w:pPr>
      <w:r>
        <w:rPr>
          <w:rFonts w:hint="eastAsia"/>
          <w:sz w:val="24"/>
          <w:szCs w:val="18"/>
        </w:rPr>
        <w:t xml:space="preserve">表1 变量的名称以及定义 </w:t>
      </w:r>
      <w:r>
        <w:rPr>
          <w:rFonts w:hint="eastAsia"/>
          <w:sz w:val="18"/>
          <w:szCs w:val="18"/>
        </w:rPr>
        <w:t xml:space="preserve"> </w:t>
      </w:r>
    </w:p>
    <w:tbl>
      <w:tblPr>
        <w:tblStyle w:val="11"/>
        <w:tblW w:w="8381" w:type="dxa"/>
        <w:tblInd w:w="91" w:type="dxa"/>
        <w:tblLayout w:type="autofit"/>
        <w:tblCellMar>
          <w:top w:w="0" w:type="dxa"/>
          <w:left w:w="108" w:type="dxa"/>
          <w:bottom w:w="0" w:type="dxa"/>
          <w:right w:w="108" w:type="dxa"/>
        </w:tblCellMar>
      </w:tblPr>
      <w:tblGrid>
        <w:gridCol w:w="2144"/>
        <w:gridCol w:w="1559"/>
        <w:gridCol w:w="4678"/>
      </w:tblGrid>
      <w:tr>
        <w:tblPrEx>
          <w:tblCellMar>
            <w:top w:w="0" w:type="dxa"/>
            <w:left w:w="108" w:type="dxa"/>
            <w:bottom w:w="0" w:type="dxa"/>
            <w:right w:w="108" w:type="dxa"/>
          </w:tblCellMar>
        </w:tblPrEx>
        <w:trPr>
          <w:trHeight w:val="270" w:hRule="atLeast"/>
        </w:trPr>
        <w:tc>
          <w:tcPr>
            <w:tcW w:w="2144" w:type="dxa"/>
            <w:tcBorders>
              <w:top w:val="single" w:color="auto" w:sz="4" w:space="0"/>
              <w:left w:val="nil"/>
              <w:bottom w:val="nil"/>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变量名称</w:t>
            </w:r>
          </w:p>
        </w:tc>
        <w:tc>
          <w:tcPr>
            <w:tcW w:w="1559" w:type="dxa"/>
            <w:tcBorders>
              <w:top w:val="single" w:color="auto" w:sz="4" w:space="0"/>
              <w:left w:val="nil"/>
              <w:bottom w:val="nil"/>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简称</w:t>
            </w:r>
          </w:p>
        </w:tc>
        <w:tc>
          <w:tcPr>
            <w:tcW w:w="4678" w:type="dxa"/>
            <w:tcBorders>
              <w:top w:val="single" w:color="auto" w:sz="4" w:space="0"/>
              <w:left w:val="nil"/>
              <w:bottom w:val="nil"/>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定义</w:t>
            </w:r>
          </w:p>
        </w:tc>
      </w:tr>
      <w:tr>
        <w:tblPrEx>
          <w:tblCellMar>
            <w:top w:w="0" w:type="dxa"/>
            <w:left w:w="108" w:type="dxa"/>
            <w:bottom w:w="0" w:type="dxa"/>
            <w:right w:w="108" w:type="dxa"/>
          </w:tblCellMar>
        </w:tblPrEx>
        <w:trPr>
          <w:trHeight w:val="300" w:hRule="atLeast"/>
        </w:trPr>
        <w:tc>
          <w:tcPr>
            <w:tcW w:w="2144" w:type="dxa"/>
            <w:tcBorders>
              <w:top w:val="single" w:color="auto" w:sz="4" w:space="0"/>
              <w:left w:val="nil"/>
              <w:bottom w:val="nil"/>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净资产收益率</w:t>
            </w:r>
          </w:p>
        </w:tc>
        <w:tc>
          <w:tcPr>
            <w:tcW w:w="1559" w:type="dxa"/>
            <w:tcBorders>
              <w:top w:val="single" w:color="auto" w:sz="4" w:space="0"/>
              <w:left w:val="nil"/>
              <w:bottom w:val="nil"/>
              <w:right w:val="nil"/>
            </w:tcBorders>
            <w:shd w:val="clear" w:color="auto" w:fill="auto"/>
            <w:noWrap/>
            <w:vAlign w:val="bottom"/>
          </w:tcPr>
          <w:p>
            <w:pPr>
              <w:widowControl/>
              <w:ind w:right="-288" w:rightChars="-137"/>
              <w:jc w:val="center"/>
              <w:rPr>
                <w:rFonts w:ascii="Calibri" w:hAnsi="Calibri" w:eastAsia="宋体" w:cs="宋体"/>
                <w:color w:val="000000"/>
                <w:kern w:val="0"/>
                <w:sz w:val="24"/>
                <w:szCs w:val="18"/>
              </w:rPr>
            </w:pPr>
            <w:r>
              <w:rPr>
                <w:rFonts w:ascii="Calibri" w:hAnsi="Calibri" w:eastAsia="宋体" w:cs="宋体"/>
                <w:color w:val="000000"/>
                <w:kern w:val="0"/>
                <w:sz w:val="24"/>
                <w:szCs w:val="18"/>
              </w:rPr>
              <w:t>ROE</w:t>
            </w:r>
          </w:p>
        </w:tc>
        <w:tc>
          <w:tcPr>
            <w:tcW w:w="4678" w:type="dxa"/>
            <w:tcBorders>
              <w:top w:val="single" w:color="auto" w:sz="4" w:space="0"/>
              <w:left w:val="nil"/>
              <w:bottom w:val="nil"/>
              <w:right w:val="nil"/>
            </w:tcBorders>
            <w:shd w:val="clear" w:color="auto" w:fill="auto"/>
            <w:noWrap/>
            <w:vAlign w:val="bottom"/>
          </w:tcPr>
          <w:p>
            <w:pPr>
              <w:widowControl/>
              <w:ind w:right="-288" w:rightChars="-137"/>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净利润</w:t>
            </w:r>
            <w:r>
              <w:rPr>
                <w:rFonts w:ascii="Calibri" w:hAnsi="Calibri" w:eastAsia="宋体" w:cs="宋体"/>
                <w:color w:val="000000"/>
                <w:kern w:val="0"/>
                <w:sz w:val="24"/>
                <w:szCs w:val="18"/>
              </w:rPr>
              <w:t>/</w:t>
            </w:r>
            <w:r>
              <w:rPr>
                <w:rFonts w:hint="eastAsia" w:ascii="宋体" w:hAnsi="宋体" w:eastAsia="宋体" w:cs="宋体"/>
                <w:color w:val="000000"/>
                <w:kern w:val="0"/>
                <w:sz w:val="24"/>
                <w:szCs w:val="18"/>
              </w:rPr>
              <w:t>平均净资产</w:t>
            </w:r>
          </w:p>
        </w:tc>
      </w:tr>
      <w:tr>
        <w:tblPrEx>
          <w:tblCellMar>
            <w:top w:w="0" w:type="dxa"/>
            <w:left w:w="108" w:type="dxa"/>
            <w:bottom w:w="0" w:type="dxa"/>
            <w:right w:w="108" w:type="dxa"/>
          </w:tblCellMar>
        </w:tblPrEx>
        <w:trPr>
          <w:trHeight w:val="300" w:hRule="atLeast"/>
        </w:trPr>
        <w:tc>
          <w:tcPr>
            <w:tcW w:w="2144" w:type="dxa"/>
            <w:tcBorders>
              <w:top w:val="nil"/>
              <w:left w:val="nil"/>
              <w:bottom w:val="nil"/>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非利息收入占比</w:t>
            </w:r>
          </w:p>
        </w:tc>
        <w:tc>
          <w:tcPr>
            <w:tcW w:w="1559" w:type="dxa"/>
            <w:tcBorders>
              <w:top w:val="nil"/>
              <w:left w:val="nil"/>
              <w:bottom w:val="nil"/>
              <w:right w:val="nil"/>
            </w:tcBorders>
            <w:shd w:val="clear" w:color="auto" w:fill="auto"/>
            <w:noWrap/>
            <w:vAlign w:val="bottom"/>
          </w:tcPr>
          <w:p>
            <w:pPr>
              <w:widowControl/>
              <w:ind w:right="-288" w:rightChars="-137"/>
              <w:jc w:val="center"/>
              <w:rPr>
                <w:rFonts w:ascii="Calibri" w:hAnsi="Calibri" w:eastAsia="宋体" w:cs="宋体"/>
                <w:color w:val="000000"/>
                <w:kern w:val="0"/>
                <w:sz w:val="24"/>
                <w:szCs w:val="18"/>
              </w:rPr>
            </w:pPr>
            <w:r>
              <w:rPr>
                <w:rFonts w:ascii="Calibri" w:hAnsi="Calibri" w:eastAsia="宋体" w:cs="宋体"/>
                <w:color w:val="000000"/>
                <w:kern w:val="0"/>
                <w:sz w:val="24"/>
                <w:szCs w:val="18"/>
              </w:rPr>
              <w:t>NII</w:t>
            </w:r>
          </w:p>
        </w:tc>
        <w:tc>
          <w:tcPr>
            <w:tcW w:w="4678" w:type="dxa"/>
            <w:tcBorders>
              <w:top w:val="nil"/>
              <w:left w:val="nil"/>
              <w:bottom w:val="nil"/>
              <w:right w:val="nil"/>
            </w:tcBorders>
            <w:shd w:val="clear" w:color="auto" w:fill="auto"/>
            <w:noWrap/>
            <w:vAlign w:val="bottom"/>
          </w:tcPr>
          <w:p>
            <w:pPr>
              <w:widowControl/>
              <w:ind w:right="-288" w:rightChars="-137"/>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非利息收入</w:t>
            </w:r>
            <w:r>
              <w:rPr>
                <w:rFonts w:ascii="Calibri" w:hAnsi="Calibri" w:eastAsia="宋体" w:cs="宋体"/>
                <w:color w:val="000000"/>
                <w:kern w:val="0"/>
                <w:sz w:val="24"/>
                <w:szCs w:val="18"/>
              </w:rPr>
              <w:t>/</w:t>
            </w:r>
            <w:r>
              <w:rPr>
                <w:rFonts w:hint="eastAsia" w:ascii="宋体" w:hAnsi="宋体" w:eastAsia="宋体" w:cs="宋体"/>
                <w:color w:val="000000"/>
                <w:kern w:val="0"/>
                <w:sz w:val="24"/>
                <w:szCs w:val="18"/>
              </w:rPr>
              <w:t>营业收入</w:t>
            </w:r>
          </w:p>
        </w:tc>
      </w:tr>
      <w:tr>
        <w:tblPrEx>
          <w:tblCellMar>
            <w:top w:w="0" w:type="dxa"/>
            <w:left w:w="108" w:type="dxa"/>
            <w:bottom w:w="0" w:type="dxa"/>
            <w:right w:w="108" w:type="dxa"/>
          </w:tblCellMar>
        </w:tblPrEx>
        <w:trPr>
          <w:trHeight w:val="300" w:hRule="atLeast"/>
        </w:trPr>
        <w:tc>
          <w:tcPr>
            <w:tcW w:w="2144" w:type="dxa"/>
            <w:tcBorders>
              <w:top w:val="nil"/>
              <w:left w:val="nil"/>
              <w:bottom w:val="nil"/>
              <w:right w:val="nil"/>
            </w:tcBorders>
            <w:shd w:val="clear" w:color="auto" w:fill="auto"/>
            <w:noWrap/>
            <w:vAlign w:val="center"/>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多元化指数</w:t>
            </w:r>
          </w:p>
        </w:tc>
        <w:tc>
          <w:tcPr>
            <w:tcW w:w="1559" w:type="dxa"/>
            <w:tcBorders>
              <w:top w:val="nil"/>
              <w:left w:val="nil"/>
              <w:bottom w:val="nil"/>
              <w:right w:val="nil"/>
            </w:tcBorders>
            <w:shd w:val="clear" w:color="auto" w:fill="auto"/>
            <w:noWrap/>
            <w:vAlign w:val="bottom"/>
          </w:tcPr>
          <w:p>
            <w:pPr>
              <w:widowControl/>
              <w:ind w:right="-288" w:rightChars="-137"/>
              <w:jc w:val="center"/>
              <w:rPr>
                <w:rFonts w:ascii="Calibri" w:hAnsi="Calibri" w:eastAsia="宋体" w:cs="宋体"/>
                <w:color w:val="000000"/>
                <w:kern w:val="0"/>
                <w:sz w:val="24"/>
                <w:szCs w:val="18"/>
              </w:rPr>
            </w:pPr>
            <w:r>
              <w:rPr>
                <w:rFonts w:ascii="Calibri" w:hAnsi="Calibri" w:eastAsia="宋体" w:cs="宋体"/>
                <w:color w:val="000000"/>
                <w:kern w:val="0"/>
                <w:sz w:val="24"/>
                <w:szCs w:val="18"/>
              </w:rPr>
              <w:t>DIV</w:t>
            </w:r>
          </w:p>
        </w:tc>
        <w:tc>
          <w:tcPr>
            <w:tcW w:w="4678" w:type="dxa"/>
            <w:tcBorders>
              <w:top w:val="nil"/>
              <w:left w:val="nil"/>
              <w:bottom w:val="nil"/>
              <w:right w:val="nil"/>
            </w:tcBorders>
            <w:shd w:val="clear" w:color="auto" w:fill="auto"/>
            <w:noWrap/>
            <w:vAlign w:val="bottom"/>
          </w:tcPr>
          <w:p>
            <w:pPr>
              <w:widowControl/>
              <w:ind w:right="-288" w:rightChars="-137"/>
              <w:jc w:val="left"/>
              <w:rPr>
                <w:rFonts w:ascii="Calibri" w:hAnsi="Calibri" w:eastAsia="宋体" w:cs="宋体"/>
                <w:color w:val="000000"/>
                <w:kern w:val="0"/>
                <w:sz w:val="24"/>
                <w:szCs w:val="18"/>
              </w:rPr>
            </w:pPr>
            <w:r>
              <w:rPr>
                <w:rFonts w:ascii="Calibri" w:hAnsi="Calibri" w:eastAsia="宋体" w:cs="宋体"/>
                <w:color w:val="000000"/>
                <w:kern w:val="0"/>
                <w:sz w:val="24"/>
                <w:szCs w:val="18"/>
              </w:rPr>
              <w:t>1</w:t>
            </w:r>
            <w:r>
              <w:rPr>
                <w:rFonts w:hint="eastAsia" w:ascii="宋体" w:hAnsi="宋体" w:eastAsia="宋体" w:cs="宋体"/>
                <w:color w:val="000000"/>
                <w:kern w:val="0"/>
                <w:sz w:val="24"/>
                <w:szCs w:val="18"/>
              </w:rPr>
              <w:t>－（净利息收入占比的平方</w:t>
            </w:r>
            <w:r>
              <w:rPr>
                <w:rFonts w:ascii="Calibri" w:hAnsi="Calibri" w:eastAsia="宋体" w:cs="宋体"/>
                <w:color w:val="000000"/>
                <w:kern w:val="0"/>
                <w:sz w:val="24"/>
                <w:szCs w:val="18"/>
              </w:rPr>
              <w:t>+</w:t>
            </w:r>
            <w:r>
              <w:rPr>
                <w:rFonts w:hint="eastAsia" w:ascii="宋体" w:hAnsi="宋体" w:eastAsia="宋体" w:cs="宋体"/>
                <w:color w:val="000000"/>
                <w:kern w:val="0"/>
                <w:sz w:val="24"/>
                <w:szCs w:val="18"/>
              </w:rPr>
              <w:t>非利息收入占比的平方）</w:t>
            </w:r>
          </w:p>
        </w:tc>
      </w:tr>
      <w:tr>
        <w:tblPrEx>
          <w:tblCellMar>
            <w:top w:w="0" w:type="dxa"/>
            <w:left w:w="108" w:type="dxa"/>
            <w:bottom w:w="0" w:type="dxa"/>
            <w:right w:w="108" w:type="dxa"/>
          </w:tblCellMar>
        </w:tblPrEx>
        <w:trPr>
          <w:trHeight w:val="300" w:hRule="atLeast"/>
        </w:trPr>
        <w:tc>
          <w:tcPr>
            <w:tcW w:w="2144" w:type="dxa"/>
            <w:tcBorders>
              <w:top w:val="nil"/>
              <w:left w:val="nil"/>
              <w:bottom w:val="nil"/>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净息差</w:t>
            </w:r>
          </w:p>
        </w:tc>
        <w:tc>
          <w:tcPr>
            <w:tcW w:w="1559" w:type="dxa"/>
            <w:tcBorders>
              <w:top w:val="nil"/>
              <w:left w:val="nil"/>
              <w:bottom w:val="nil"/>
              <w:right w:val="nil"/>
            </w:tcBorders>
            <w:shd w:val="clear" w:color="auto" w:fill="auto"/>
            <w:noWrap/>
            <w:vAlign w:val="bottom"/>
          </w:tcPr>
          <w:p>
            <w:pPr>
              <w:widowControl/>
              <w:ind w:right="-288" w:rightChars="-137"/>
              <w:jc w:val="center"/>
              <w:rPr>
                <w:rFonts w:ascii="Calibri" w:hAnsi="Calibri" w:eastAsia="宋体" w:cs="宋体"/>
                <w:color w:val="000000"/>
                <w:kern w:val="0"/>
                <w:sz w:val="24"/>
                <w:szCs w:val="18"/>
              </w:rPr>
            </w:pPr>
            <w:r>
              <w:rPr>
                <w:rFonts w:ascii="Calibri" w:hAnsi="Calibri" w:eastAsia="宋体" w:cs="宋体"/>
                <w:color w:val="000000"/>
                <w:kern w:val="0"/>
                <w:sz w:val="24"/>
                <w:szCs w:val="18"/>
              </w:rPr>
              <w:t>NIM</w:t>
            </w:r>
          </w:p>
        </w:tc>
        <w:tc>
          <w:tcPr>
            <w:tcW w:w="4678" w:type="dxa"/>
            <w:tcBorders>
              <w:top w:val="nil"/>
              <w:left w:val="nil"/>
              <w:bottom w:val="nil"/>
              <w:right w:val="nil"/>
            </w:tcBorders>
            <w:shd w:val="clear" w:color="auto" w:fill="auto"/>
            <w:noWrap/>
            <w:vAlign w:val="bottom"/>
          </w:tcPr>
          <w:p>
            <w:pPr>
              <w:widowControl/>
              <w:ind w:right="-288" w:rightChars="-137"/>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(银行全部利息收入-银行全部利息支出)/全部生息资产</w:t>
            </w:r>
          </w:p>
        </w:tc>
      </w:tr>
      <w:tr>
        <w:tblPrEx>
          <w:tblCellMar>
            <w:top w:w="0" w:type="dxa"/>
            <w:left w:w="108" w:type="dxa"/>
            <w:bottom w:w="0" w:type="dxa"/>
            <w:right w:w="108" w:type="dxa"/>
          </w:tblCellMar>
        </w:tblPrEx>
        <w:trPr>
          <w:trHeight w:val="300" w:hRule="atLeast"/>
        </w:trPr>
        <w:tc>
          <w:tcPr>
            <w:tcW w:w="2144" w:type="dxa"/>
            <w:tcBorders>
              <w:top w:val="nil"/>
              <w:left w:val="nil"/>
              <w:bottom w:val="nil"/>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净利差</w:t>
            </w:r>
          </w:p>
        </w:tc>
        <w:tc>
          <w:tcPr>
            <w:tcW w:w="1559" w:type="dxa"/>
            <w:tcBorders>
              <w:top w:val="nil"/>
              <w:left w:val="nil"/>
              <w:bottom w:val="nil"/>
              <w:right w:val="nil"/>
            </w:tcBorders>
            <w:shd w:val="clear" w:color="auto" w:fill="auto"/>
            <w:noWrap/>
            <w:vAlign w:val="bottom"/>
          </w:tcPr>
          <w:p>
            <w:pPr>
              <w:widowControl/>
              <w:ind w:right="-288" w:rightChars="-137"/>
              <w:jc w:val="center"/>
              <w:rPr>
                <w:rFonts w:ascii="Calibri" w:hAnsi="Calibri" w:eastAsia="宋体" w:cs="宋体"/>
                <w:color w:val="000000"/>
                <w:kern w:val="0"/>
                <w:sz w:val="24"/>
                <w:szCs w:val="18"/>
              </w:rPr>
            </w:pPr>
            <w:r>
              <w:rPr>
                <w:rFonts w:ascii="Calibri" w:hAnsi="Calibri" w:eastAsia="宋体" w:cs="宋体"/>
                <w:color w:val="000000"/>
                <w:kern w:val="0"/>
                <w:sz w:val="24"/>
                <w:szCs w:val="18"/>
              </w:rPr>
              <w:t>NIS</w:t>
            </w:r>
          </w:p>
        </w:tc>
        <w:tc>
          <w:tcPr>
            <w:tcW w:w="4678" w:type="dxa"/>
            <w:tcBorders>
              <w:top w:val="nil"/>
              <w:left w:val="nil"/>
              <w:bottom w:val="nil"/>
              <w:right w:val="nil"/>
            </w:tcBorders>
            <w:shd w:val="clear" w:color="auto" w:fill="auto"/>
            <w:noWrap/>
            <w:vAlign w:val="bottom"/>
          </w:tcPr>
          <w:p>
            <w:pPr>
              <w:widowControl/>
              <w:ind w:right="-288" w:rightChars="-137"/>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生息率-付息率</w:t>
            </w:r>
          </w:p>
        </w:tc>
      </w:tr>
      <w:tr>
        <w:tblPrEx>
          <w:tblCellMar>
            <w:top w:w="0" w:type="dxa"/>
            <w:left w:w="108" w:type="dxa"/>
            <w:bottom w:w="0" w:type="dxa"/>
            <w:right w:w="108" w:type="dxa"/>
          </w:tblCellMar>
        </w:tblPrEx>
        <w:trPr>
          <w:trHeight w:val="300" w:hRule="atLeast"/>
        </w:trPr>
        <w:tc>
          <w:tcPr>
            <w:tcW w:w="2144" w:type="dxa"/>
            <w:tcBorders>
              <w:top w:val="nil"/>
              <w:left w:val="nil"/>
              <w:bottom w:val="nil"/>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成本收入比</w:t>
            </w:r>
          </w:p>
        </w:tc>
        <w:tc>
          <w:tcPr>
            <w:tcW w:w="1559" w:type="dxa"/>
            <w:tcBorders>
              <w:top w:val="nil"/>
              <w:left w:val="nil"/>
              <w:bottom w:val="nil"/>
              <w:right w:val="nil"/>
            </w:tcBorders>
            <w:shd w:val="clear" w:color="auto" w:fill="auto"/>
            <w:noWrap/>
            <w:vAlign w:val="bottom"/>
          </w:tcPr>
          <w:p>
            <w:pPr>
              <w:widowControl/>
              <w:ind w:right="-288" w:rightChars="-137"/>
              <w:jc w:val="center"/>
              <w:rPr>
                <w:rFonts w:ascii="Calibri" w:hAnsi="Calibri" w:eastAsia="宋体" w:cs="宋体"/>
                <w:color w:val="000000"/>
                <w:kern w:val="0"/>
                <w:sz w:val="24"/>
                <w:szCs w:val="18"/>
              </w:rPr>
            </w:pPr>
            <w:r>
              <w:rPr>
                <w:rFonts w:ascii="Calibri" w:hAnsi="Calibri" w:eastAsia="宋体" w:cs="宋体"/>
                <w:color w:val="000000"/>
                <w:kern w:val="0"/>
                <w:sz w:val="24"/>
                <w:szCs w:val="18"/>
              </w:rPr>
              <w:t>COSTINC</w:t>
            </w:r>
          </w:p>
        </w:tc>
        <w:tc>
          <w:tcPr>
            <w:tcW w:w="4678" w:type="dxa"/>
            <w:tcBorders>
              <w:top w:val="nil"/>
              <w:left w:val="nil"/>
              <w:bottom w:val="nil"/>
              <w:right w:val="nil"/>
            </w:tcBorders>
            <w:shd w:val="clear" w:color="auto" w:fill="auto"/>
            <w:noWrap/>
            <w:vAlign w:val="bottom"/>
          </w:tcPr>
          <w:p>
            <w:pPr>
              <w:widowControl/>
              <w:ind w:right="773" w:rightChars="368"/>
              <w:rPr>
                <w:rFonts w:ascii="宋体" w:hAnsi="宋体" w:eastAsia="宋体" w:cs="宋体"/>
                <w:color w:val="000000"/>
                <w:kern w:val="0"/>
                <w:sz w:val="24"/>
                <w:szCs w:val="18"/>
              </w:rPr>
            </w:pPr>
            <w:r>
              <w:rPr>
                <w:rFonts w:hint="eastAsia" w:ascii="宋体" w:hAnsi="宋体" w:eastAsia="宋体" w:cs="宋体"/>
                <w:color w:val="000000"/>
                <w:kern w:val="0"/>
                <w:sz w:val="24"/>
                <w:szCs w:val="18"/>
              </w:rPr>
              <w:t>营业成本/营业收入</w:t>
            </w:r>
          </w:p>
        </w:tc>
      </w:tr>
      <w:tr>
        <w:tblPrEx>
          <w:tblCellMar>
            <w:top w:w="0" w:type="dxa"/>
            <w:left w:w="108" w:type="dxa"/>
            <w:bottom w:w="0" w:type="dxa"/>
            <w:right w:w="108" w:type="dxa"/>
          </w:tblCellMar>
        </w:tblPrEx>
        <w:trPr>
          <w:trHeight w:val="300" w:hRule="atLeast"/>
        </w:trPr>
        <w:tc>
          <w:tcPr>
            <w:tcW w:w="2144" w:type="dxa"/>
            <w:tcBorders>
              <w:top w:val="nil"/>
              <w:left w:val="nil"/>
              <w:bottom w:val="nil"/>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权益比率</w:t>
            </w:r>
          </w:p>
        </w:tc>
        <w:tc>
          <w:tcPr>
            <w:tcW w:w="1559" w:type="dxa"/>
            <w:tcBorders>
              <w:top w:val="nil"/>
              <w:left w:val="nil"/>
              <w:bottom w:val="nil"/>
              <w:right w:val="nil"/>
            </w:tcBorders>
            <w:shd w:val="clear" w:color="auto" w:fill="auto"/>
            <w:noWrap/>
            <w:vAlign w:val="bottom"/>
          </w:tcPr>
          <w:p>
            <w:pPr>
              <w:widowControl/>
              <w:ind w:right="-288" w:rightChars="-137"/>
              <w:jc w:val="center"/>
              <w:rPr>
                <w:rFonts w:ascii="Calibri" w:hAnsi="Calibri" w:eastAsia="宋体" w:cs="宋体"/>
                <w:color w:val="000000"/>
                <w:kern w:val="0"/>
                <w:sz w:val="24"/>
                <w:szCs w:val="18"/>
              </w:rPr>
            </w:pPr>
            <w:r>
              <w:rPr>
                <w:rFonts w:ascii="Calibri" w:hAnsi="Calibri" w:eastAsia="宋体" w:cs="宋体"/>
                <w:color w:val="000000"/>
                <w:kern w:val="0"/>
                <w:sz w:val="24"/>
                <w:szCs w:val="18"/>
              </w:rPr>
              <w:t>EA</w:t>
            </w:r>
          </w:p>
        </w:tc>
        <w:tc>
          <w:tcPr>
            <w:tcW w:w="4678" w:type="dxa"/>
            <w:tcBorders>
              <w:top w:val="nil"/>
              <w:left w:val="nil"/>
              <w:bottom w:val="nil"/>
              <w:right w:val="nil"/>
            </w:tcBorders>
            <w:shd w:val="clear" w:color="auto" w:fill="auto"/>
            <w:noWrap/>
            <w:vAlign w:val="bottom"/>
          </w:tcPr>
          <w:p>
            <w:pPr>
              <w:widowControl/>
              <w:ind w:right="-288" w:rightChars="-137"/>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股东权益</w:t>
            </w:r>
            <w:r>
              <w:rPr>
                <w:rFonts w:ascii="Calibri" w:hAnsi="Calibri" w:eastAsia="宋体" w:cs="宋体"/>
                <w:color w:val="000000"/>
                <w:kern w:val="0"/>
                <w:sz w:val="24"/>
                <w:szCs w:val="18"/>
              </w:rPr>
              <w:t>/</w:t>
            </w:r>
            <w:r>
              <w:rPr>
                <w:rFonts w:hint="eastAsia" w:ascii="宋体" w:hAnsi="宋体" w:eastAsia="宋体" w:cs="宋体"/>
                <w:color w:val="000000"/>
                <w:kern w:val="0"/>
                <w:sz w:val="24"/>
                <w:szCs w:val="18"/>
              </w:rPr>
              <w:t>总资产</w:t>
            </w:r>
          </w:p>
        </w:tc>
      </w:tr>
      <w:tr>
        <w:tblPrEx>
          <w:tblCellMar>
            <w:top w:w="0" w:type="dxa"/>
            <w:left w:w="108" w:type="dxa"/>
            <w:bottom w:w="0" w:type="dxa"/>
            <w:right w:w="108" w:type="dxa"/>
          </w:tblCellMar>
        </w:tblPrEx>
        <w:trPr>
          <w:trHeight w:val="300" w:hRule="atLeast"/>
        </w:trPr>
        <w:tc>
          <w:tcPr>
            <w:tcW w:w="2144" w:type="dxa"/>
            <w:tcBorders>
              <w:top w:val="nil"/>
              <w:left w:val="nil"/>
              <w:bottom w:val="nil"/>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资产规模</w:t>
            </w:r>
          </w:p>
        </w:tc>
        <w:tc>
          <w:tcPr>
            <w:tcW w:w="1559" w:type="dxa"/>
            <w:tcBorders>
              <w:top w:val="nil"/>
              <w:left w:val="nil"/>
              <w:bottom w:val="nil"/>
              <w:right w:val="nil"/>
            </w:tcBorders>
            <w:shd w:val="clear" w:color="auto" w:fill="auto"/>
            <w:noWrap/>
            <w:vAlign w:val="bottom"/>
          </w:tcPr>
          <w:p>
            <w:pPr>
              <w:widowControl/>
              <w:ind w:right="-288" w:rightChars="-137"/>
              <w:jc w:val="center"/>
              <w:rPr>
                <w:rFonts w:ascii="Calibri" w:hAnsi="Calibri" w:eastAsia="宋体" w:cs="宋体"/>
                <w:color w:val="000000"/>
                <w:kern w:val="0"/>
                <w:sz w:val="24"/>
                <w:szCs w:val="18"/>
              </w:rPr>
            </w:pPr>
            <w:r>
              <w:rPr>
                <w:rFonts w:ascii="Calibri" w:hAnsi="Calibri" w:eastAsia="宋体" w:cs="宋体"/>
                <w:color w:val="000000"/>
                <w:kern w:val="0"/>
                <w:sz w:val="24"/>
                <w:szCs w:val="18"/>
              </w:rPr>
              <w:t>TA</w:t>
            </w:r>
          </w:p>
        </w:tc>
        <w:tc>
          <w:tcPr>
            <w:tcW w:w="4678" w:type="dxa"/>
            <w:tcBorders>
              <w:top w:val="nil"/>
              <w:left w:val="nil"/>
              <w:bottom w:val="nil"/>
              <w:right w:val="nil"/>
            </w:tcBorders>
            <w:shd w:val="clear" w:color="auto" w:fill="auto"/>
            <w:noWrap/>
            <w:vAlign w:val="bottom"/>
          </w:tcPr>
          <w:p>
            <w:pPr>
              <w:widowControl/>
              <w:ind w:right="-288" w:rightChars="-137"/>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总资产的自然对数</w:t>
            </w:r>
          </w:p>
        </w:tc>
      </w:tr>
      <w:tr>
        <w:tblPrEx>
          <w:tblCellMar>
            <w:top w:w="0" w:type="dxa"/>
            <w:left w:w="108" w:type="dxa"/>
            <w:bottom w:w="0" w:type="dxa"/>
            <w:right w:w="108" w:type="dxa"/>
          </w:tblCellMar>
        </w:tblPrEx>
        <w:trPr>
          <w:trHeight w:val="300" w:hRule="atLeast"/>
        </w:trPr>
        <w:tc>
          <w:tcPr>
            <w:tcW w:w="2144" w:type="dxa"/>
            <w:tcBorders>
              <w:top w:val="nil"/>
              <w:left w:val="nil"/>
              <w:bottom w:val="nil"/>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互联网金融指数</w:t>
            </w:r>
          </w:p>
        </w:tc>
        <w:tc>
          <w:tcPr>
            <w:tcW w:w="1559" w:type="dxa"/>
            <w:tcBorders>
              <w:top w:val="nil"/>
              <w:left w:val="nil"/>
              <w:bottom w:val="nil"/>
              <w:right w:val="nil"/>
            </w:tcBorders>
            <w:shd w:val="clear" w:color="auto" w:fill="auto"/>
            <w:noWrap/>
            <w:vAlign w:val="bottom"/>
          </w:tcPr>
          <w:p>
            <w:pPr>
              <w:widowControl/>
              <w:ind w:right="-288" w:rightChars="-137"/>
              <w:jc w:val="center"/>
              <w:rPr>
                <w:rFonts w:ascii="Calibri" w:hAnsi="Calibri" w:eastAsia="宋体" w:cs="宋体"/>
                <w:color w:val="000000"/>
                <w:kern w:val="0"/>
                <w:sz w:val="24"/>
                <w:szCs w:val="18"/>
              </w:rPr>
            </w:pPr>
            <w:r>
              <w:rPr>
                <w:rFonts w:ascii="Calibri" w:hAnsi="Calibri" w:eastAsia="宋体" w:cs="宋体"/>
                <w:color w:val="000000"/>
                <w:kern w:val="0"/>
                <w:sz w:val="24"/>
                <w:szCs w:val="18"/>
              </w:rPr>
              <w:t>IFDI</w:t>
            </w:r>
          </w:p>
        </w:tc>
        <w:tc>
          <w:tcPr>
            <w:tcW w:w="4678" w:type="dxa"/>
            <w:tcBorders>
              <w:top w:val="nil"/>
              <w:left w:val="nil"/>
              <w:bottom w:val="nil"/>
              <w:right w:val="nil"/>
            </w:tcBorders>
            <w:shd w:val="clear" w:color="auto" w:fill="auto"/>
            <w:noWrap/>
            <w:vAlign w:val="bottom"/>
          </w:tcPr>
          <w:p>
            <w:pPr>
              <w:widowControl/>
              <w:ind w:right="-288" w:rightChars="-137"/>
              <w:jc w:val="left"/>
              <w:rPr>
                <w:rFonts w:ascii="Calibri" w:hAnsi="Calibri" w:eastAsia="宋体" w:cs="宋体"/>
                <w:color w:val="000000"/>
                <w:kern w:val="0"/>
                <w:sz w:val="24"/>
                <w:szCs w:val="18"/>
              </w:rPr>
            </w:pPr>
            <w:r>
              <w:rPr>
                <w:rFonts w:ascii="Calibri" w:hAnsi="Calibri" w:eastAsia="宋体" w:cs="宋体"/>
                <w:color w:val="000000"/>
                <w:kern w:val="0"/>
                <w:sz w:val="24"/>
                <w:szCs w:val="18"/>
              </w:rPr>
              <w:t>——</w:t>
            </w:r>
          </w:p>
        </w:tc>
      </w:tr>
      <w:tr>
        <w:tblPrEx>
          <w:tblCellMar>
            <w:top w:w="0" w:type="dxa"/>
            <w:left w:w="108" w:type="dxa"/>
            <w:bottom w:w="0" w:type="dxa"/>
            <w:right w:w="108" w:type="dxa"/>
          </w:tblCellMar>
        </w:tblPrEx>
        <w:trPr>
          <w:trHeight w:val="300" w:hRule="atLeast"/>
        </w:trPr>
        <w:tc>
          <w:tcPr>
            <w:tcW w:w="2144" w:type="dxa"/>
            <w:tcBorders>
              <w:top w:val="nil"/>
              <w:left w:val="nil"/>
              <w:bottom w:val="nil"/>
              <w:right w:val="nil"/>
            </w:tcBorders>
            <w:shd w:val="clear" w:color="auto" w:fill="auto"/>
            <w:noWrap/>
            <w:vAlign w:val="bottom"/>
          </w:tcPr>
          <w:p>
            <w:pPr>
              <w:widowControl/>
              <w:ind w:right="-288" w:rightChars="-137"/>
              <w:jc w:val="center"/>
              <w:rPr>
                <w:rFonts w:ascii="宋体" w:hAnsi="宋体" w:eastAsia="宋体" w:cs="宋体"/>
                <w:kern w:val="0"/>
                <w:sz w:val="24"/>
                <w:szCs w:val="18"/>
              </w:rPr>
            </w:pPr>
            <w:r>
              <w:rPr>
                <w:rFonts w:hint="eastAsia" w:ascii="宋体" w:hAnsi="宋体" w:eastAsia="宋体" w:cs="宋体"/>
                <w:kern w:val="0"/>
                <w:sz w:val="24"/>
                <w:szCs w:val="18"/>
              </w:rPr>
              <w:t>国内生产总值</w:t>
            </w:r>
          </w:p>
        </w:tc>
        <w:tc>
          <w:tcPr>
            <w:tcW w:w="1559" w:type="dxa"/>
            <w:tcBorders>
              <w:top w:val="nil"/>
              <w:left w:val="nil"/>
              <w:bottom w:val="nil"/>
              <w:right w:val="nil"/>
            </w:tcBorders>
            <w:shd w:val="clear" w:color="auto" w:fill="auto"/>
            <w:noWrap/>
            <w:vAlign w:val="bottom"/>
          </w:tcPr>
          <w:p>
            <w:pPr>
              <w:widowControl/>
              <w:ind w:right="-288" w:rightChars="-137"/>
              <w:jc w:val="center"/>
              <w:rPr>
                <w:rFonts w:ascii="Calibri" w:hAnsi="Calibri" w:eastAsia="宋体" w:cs="宋体"/>
                <w:color w:val="000000"/>
                <w:kern w:val="0"/>
                <w:sz w:val="24"/>
                <w:szCs w:val="18"/>
              </w:rPr>
            </w:pPr>
            <w:r>
              <w:rPr>
                <w:rFonts w:ascii="Calibri" w:hAnsi="Calibri" w:eastAsia="宋体" w:cs="宋体"/>
                <w:color w:val="000000"/>
                <w:kern w:val="0"/>
                <w:sz w:val="24"/>
                <w:szCs w:val="18"/>
              </w:rPr>
              <w:t>GDP</w:t>
            </w:r>
          </w:p>
        </w:tc>
        <w:tc>
          <w:tcPr>
            <w:tcW w:w="4678" w:type="dxa"/>
            <w:tcBorders>
              <w:top w:val="nil"/>
              <w:left w:val="nil"/>
              <w:bottom w:val="nil"/>
              <w:right w:val="nil"/>
            </w:tcBorders>
            <w:shd w:val="clear" w:color="auto" w:fill="auto"/>
            <w:noWrap/>
            <w:vAlign w:val="bottom"/>
          </w:tcPr>
          <w:p>
            <w:pPr>
              <w:widowControl/>
              <w:ind w:right="-288" w:rightChars="-137"/>
              <w:jc w:val="left"/>
              <w:rPr>
                <w:rFonts w:ascii="Calibri" w:hAnsi="Calibri" w:eastAsia="宋体" w:cs="宋体"/>
                <w:color w:val="000000"/>
                <w:kern w:val="0"/>
                <w:sz w:val="24"/>
                <w:szCs w:val="18"/>
              </w:rPr>
            </w:pPr>
            <w:r>
              <w:rPr>
                <w:rFonts w:ascii="Calibri" w:hAnsi="Calibri" w:eastAsia="宋体" w:cs="宋体"/>
                <w:color w:val="000000"/>
                <w:kern w:val="0"/>
                <w:sz w:val="24"/>
                <w:szCs w:val="18"/>
              </w:rPr>
              <w:t>——</w:t>
            </w:r>
          </w:p>
        </w:tc>
      </w:tr>
      <w:tr>
        <w:tblPrEx>
          <w:tblCellMar>
            <w:top w:w="0" w:type="dxa"/>
            <w:left w:w="108" w:type="dxa"/>
            <w:bottom w:w="0" w:type="dxa"/>
            <w:right w:w="108" w:type="dxa"/>
          </w:tblCellMar>
        </w:tblPrEx>
        <w:trPr>
          <w:trHeight w:val="300" w:hRule="atLeast"/>
        </w:trPr>
        <w:tc>
          <w:tcPr>
            <w:tcW w:w="2144" w:type="dxa"/>
            <w:tcBorders>
              <w:top w:val="nil"/>
              <w:left w:val="nil"/>
              <w:bottom w:val="single" w:color="auto" w:sz="4" w:space="0"/>
              <w:right w:val="nil"/>
            </w:tcBorders>
            <w:shd w:val="clear" w:color="auto" w:fill="auto"/>
            <w:noWrap/>
            <w:vAlign w:val="bottom"/>
          </w:tcPr>
          <w:p>
            <w:pPr>
              <w:widowControl/>
              <w:ind w:right="-288" w:rightChars="-137"/>
              <w:jc w:val="center"/>
              <w:rPr>
                <w:rFonts w:ascii="宋体" w:hAnsi="宋体" w:eastAsia="宋体" w:cs="宋体"/>
                <w:color w:val="000000"/>
                <w:kern w:val="0"/>
                <w:sz w:val="24"/>
                <w:szCs w:val="18"/>
              </w:rPr>
            </w:pPr>
            <w:r>
              <w:rPr>
                <w:rFonts w:hint="eastAsia" w:ascii="宋体" w:hAnsi="宋体" w:eastAsia="宋体" w:cs="宋体"/>
                <w:color w:val="000000"/>
                <w:kern w:val="0"/>
                <w:sz w:val="24"/>
                <w:szCs w:val="18"/>
              </w:rPr>
              <w:t>资本充足率</w:t>
            </w:r>
          </w:p>
        </w:tc>
        <w:tc>
          <w:tcPr>
            <w:tcW w:w="1559" w:type="dxa"/>
            <w:tcBorders>
              <w:top w:val="nil"/>
              <w:left w:val="nil"/>
              <w:bottom w:val="single" w:color="auto" w:sz="4" w:space="0"/>
              <w:right w:val="nil"/>
            </w:tcBorders>
            <w:shd w:val="clear" w:color="auto" w:fill="auto"/>
            <w:noWrap/>
            <w:vAlign w:val="bottom"/>
          </w:tcPr>
          <w:p>
            <w:pPr>
              <w:widowControl/>
              <w:ind w:right="-288" w:rightChars="-137"/>
              <w:jc w:val="center"/>
              <w:rPr>
                <w:rFonts w:ascii="Calibri" w:hAnsi="Calibri" w:eastAsia="宋体" w:cs="宋体"/>
                <w:color w:val="000000"/>
                <w:kern w:val="0"/>
                <w:sz w:val="24"/>
                <w:szCs w:val="18"/>
              </w:rPr>
            </w:pPr>
            <w:r>
              <w:rPr>
                <w:rFonts w:ascii="Calibri" w:hAnsi="Calibri" w:eastAsia="宋体" w:cs="宋体"/>
                <w:color w:val="000000"/>
                <w:kern w:val="0"/>
                <w:sz w:val="24"/>
                <w:szCs w:val="18"/>
              </w:rPr>
              <w:t>CAR</w:t>
            </w:r>
          </w:p>
        </w:tc>
        <w:tc>
          <w:tcPr>
            <w:tcW w:w="4678" w:type="dxa"/>
            <w:tcBorders>
              <w:top w:val="nil"/>
              <w:left w:val="nil"/>
              <w:bottom w:val="single" w:color="auto" w:sz="4" w:space="0"/>
              <w:right w:val="nil"/>
            </w:tcBorders>
            <w:shd w:val="clear" w:color="auto" w:fill="auto"/>
            <w:noWrap/>
            <w:vAlign w:val="bottom"/>
          </w:tcPr>
          <w:p>
            <w:pPr>
              <w:widowControl/>
              <w:ind w:right="-288" w:rightChars="-137"/>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资本</w:t>
            </w:r>
            <w:r>
              <w:rPr>
                <w:rFonts w:ascii="Calibri" w:hAnsi="Calibri" w:eastAsia="宋体" w:cs="宋体"/>
                <w:color w:val="000000"/>
                <w:kern w:val="0"/>
                <w:sz w:val="24"/>
                <w:szCs w:val="18"/>
              </w:rPr>
              <w:t>/</w:t>
            </w:r>
            <w:r>
              <w:rPr>
                <w:rFonts w:hint="eastAsia" w:ascii="宋体" w:hAnsi="宋体" w:eastAsia="宋体" w:cs="宋体"/>
                <w:color w:val="000000"/>
                <w:kern w:val="0"/>
                <w:sz w:val="24"/>
                <w:szCs w:val="18"/>
              </w:rPr>
              <w:t>风险资产</w:t>
            </w:r>
          </w:p>
        </w:tc>
      </w:tr>
    </w:tbl>
    <w:p>
      <w:pPr>
        <w:jc w:val="left"/>
      </w:pPr>
    </w:p>
    <w:p>
      <w:pPr>
        <w:pStyle w:val="2"/>
        <w:adjustRightInd w:val="0"/>
        <w:snapToGrid w:val="0"/>
        <w:spacing w:before="120" w:after="120" w:line="240" w:lineRule="auto"/>
        <w:rPr>
          <w:sz w:val="28"/>
          <w:szCs w:val="28"/>
        </w:rPr>
      </w:pPr>
      <w:r>
        <w:rPr>
          <w:rFonts w:hint="eastAsia"/>
          <w:sz w:val="28"/>
          <w:szCs w:val="28"/>
        </w:rPr>
        <w:t>3.</w:t>
      </w:r>
      <w:r>
        <w:rPr>
          <w:sz w:val="28"/>
          <w:szCs w:val="28"/>
        </w:rPr>
        <w:t>实证分析</w:t>
      </w:r>
    </w:p>
    <w:p>
      <w:pPr>
        <w:pStyle w:val="3"/>
        <w:spacing w:before="0" w:after="0" w:line="240" w:lineRule="auto"/>
        <w:rPr>
          <w:sz w:val="24"/>
          <w:szCs w:val="24"/>
        </w:rPr>
      </w:pPr>
      <w:r>
        <w:rPr>
          <w:rFonts w:hint="eastAsia"/>
          <w:sz w:val="24"/>
          <w:szCs w:val="24"/>
        </w:rPr>
        <w:t>3.1Hausman检验</w:t>
      </w:r>
    </w:p>
    <w:p>
      <w:pPr>
        <w:ind w:firstLine="480" w:firstLineChars="200"/>
        <w:rPr>
          <w:sz w:val="24"/>
          <w:szCs w:val="24"/>
        </w:rPr>
      </w:pPr>
      <w:r>
        <w:rPr>
          <w:rFonts w:hint="eastAsia"/>
          <w:sz w:val="24"/>
          <w:szCs w:val="24"/>
        </w:rPr>
        <w:t>本文的数据是面板数据，首先应该确定应该使用固定效应模型还是随机效应模型，或者混合效应模型。本文采用Hausman检验来确定，具体的检验结果见表2和表3。</w:t>
      </w:r>
    </w:p>
    <w:p>
      <w:pPr>
        <w:jc w:val="center"/>
        <w:rPr>
          <w:sz w:val="24"/>
          <w:szCs w:val="24"/>
        </w:rPr>
      </w:pPr>
      <w:r>
        <w:rPr>
          <w:rFonts w:hint="eastAsia"/>
          <w:sz w:val="24"/>
          <w:szCs w:val="24"/>
        </w:rPr>
        <w:t>表2  城商行的Hausman检验结果</w:t>
      </w:r>
    </w:p>
    <w:tbl>
      <w:tblPr>
        <w:tblStyle w:val="11"/>
        <w:tblW w:w="7001" w:type="dxa"/>
        <w:tblInd w:w="817" w:type="dxa"/>
        <w:tblLayout w:type="autofit"/>
        <w:tblCellMar>
          <w:top w:w="0" w:type="dxa"/>
          <w:left w:w="108" w:type="dxa"/>
          <w:bottom w:w="0" w:type="dxa"/>
          <w:right w:w="108" w:type="dxa"/>
        </w:tblCellMar>
      </w:tblPr>
      <w:tblGrid>
        <w:gridCol w:w="1985"/>
        <w:gridCol w:w="1701"/>
        <w:gridCol w:w="2100"/>
        <w:gridCol w:w="1215"/>
      </w:tblGrid>
      <w:tr>
        <w:tblPrEx>
          <w:tblCellMar>
            <w:top w:w="0" w:type="dxa"/>
            <w:left w:w="108" w:type="dxa"/>
            <w:bottom w:w="0" w:type="dxa"/>
            <w:right w:w="108" w:type="dxa"/>
          </w:tblCellMar>
        </w:tblPrEx>
        <w:trPr>
          <w:trHeight w:val="270" w:hRule="atLeast"/>
        </w:trPr>
        <w:tc>
          <w:tcPr>
            <w:tcW w:w="1985" w:type="dxa"/>
            <w:tcBorders>
              <w:top w:val="single" w:color="auto" w:sz="4" w:space="0"/>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检验结果</w:t>
            </w:r>
          </w:p>
        </w:tc>
        <w:tc>
          <w:tcPr>
            <w:tcW w:w="1701"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统计量</w:t>
            </w:r>
          </w:p>
        </w:tc>
        <w:tc>
          <w:tcPr>
            <w:tcW w:w="2100"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自由度</w:t>
            </w:r>
          </w:p>
        </w:tc>
        <w:tc>
          <w:tcPr>
            <w:tcW w:w="1215"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P值</w:t>
            </w:r>
          </w:p>
        </w:tc>
      </w:tr>
      <w:tr>
        <w:tblPrEx>
          <w:tblCellMar>
            <w:top w:w="0" w:type="dxa"/>
            <w:left w:w="108" w:type="dxa"/>
            <w:bottom w:w="0" w:type="dxa"/>
            <w:right w:w="108" w:type="dxa"/>
          </w:tblCellMar>
        </w:tblPrEx>
        <w:trPr>
          <w:trHeight w:val="270" w:hRule="atLeast"/>
        </w:trPr>
        <w:tc>
          <w:tcPr>
            <w:tcW w:w="1985" w:type="dxa"/>
            <w:tcBorders>
              <w:top w:val="single" w:color="auto" w:sz="4" w:space="0"/>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模型（1）</w:t>
            </w:r>
          </w:p>
        </w:tc>
        <w:tc>
          <w:tcPr>
            <w:tcW w:w="1701"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18.06</w:t>
            </w:r>
          </w:p>
        </w:tc>
        <w:tc>
          <w:tcPr>
            <w:tcW w:w="2100"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15"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0.0344</w:t>
            </w:r>
          </w:p>
        </w:tc>
      </w:tr>
      <w:tr>
        <w:tblPrEx>
          <w:tblCellMar>
            <w:top w:w="0" w:type="dxa"/>
            <w:left w:w="108" w:type="dxa"/>
            <w:bottom w:w="0" w:type="dxa"/>
            <w:right w:w="108" w:type="dxa"/>
          </w:tblCellMar>
        </w:tblPrEx>
        <w:trPr>
          <w:trHeight w:val="270" w:hRule="atLeast"/>
        </w:trPr>
        <w:tc>
          <w:tcPr>
            <w:tcW w:w="1985"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模型（2）</w:t>
            </w:r>
          </w:p>
        </w:tc>
        <w:tc>
          <w:tcPr>
            <w:tcW w:w="170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43.06</w:t>
            </w:r>
          </w:p>
        </w:tc>
        <w:tc>
          <w:tcPr>
            <w:tcW w:w="210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1215"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0.0000</w:t>
            </w:r>
          </w:p>
        </w:tc>
      </w:tr>
    </w:tbl>
    <w:p>
      <w:pPr>
        <w:ind w:firstLine="480" w:firstLineChars="200"/>
        <w:rPr>
          <w:sz w:val="24"/>
          <w:szCs w:val="24"/>
        </w:rPr>
      </w:pPr>
      <w:r>
        <w:rPr>
          <w:rFonts w:hint="eastAsia"/>
          <w:sz w:val="24"/>
          <w:szCs w:val="24"/>
        </w:rPr>
        <w:t>表2给出了城商行数据的Hausman检验结果。结果表明模型（1）的P值和模型（2）的P值都小于0.05，所以选择固定效应模型。</w:t>
      </w:r>
    </w:p>
    <w:p>
      <w:pPr>
        <w:ind w:firstLine="420"/>
        <w:rPr>
          <w:sz w:val="24"/>
          <w:szCs w:val="24"/>
        </w:rPr>
      </w:pPr>
      <w:r>
        <w:rPr>
          <w:rFonts w:hint="eastAsia"/>
          <w:sz w:val="24"/>
          <w:szCs w:val="24"/>
        </w:rPr>
        <w:t>对农商行的Hausman检验结果见表3。模型（1）和模型（2）的P值都大于0.05，应该采用随机效应模型。</w:t>
      </w:r>
    </w:p>
    <w:p>
      <w:pPr>
        <w:jc w:val="center"/>
        <w:rPr>
          <w:sz w:val="24"/>
          <w:szCs w:val="24"/>
        </w:rPr>
      </w:pPr>
      <w:r>
        <w:rPr>
          <w:rFonts w:hint="eastAsia"/>
          <w:sz w:val="24"/>
          <w:szCs w:val="24"/>
        </w:rPr>
        <w:t>表3  农商行的Hausman检验结果</w:t>
      </w:r>
    </w:p>
    <w:tbl>
      <w:tblPr>
        <w:tblStyle w:val="11"/>
        <w:tblW w:w="6289" w:type="dxa"/>
        <w:tblInd w:w="817" w:type="dxa"/>
        <w:tblLayout w:type="autofit"/>
        <w:tblCellMar>
          <w:top w:w="0" w:type="dxa"/>
          <w:left w:w="108" w:type="dxa"/>
          <w:bottom w:w="0" w:type="dxa"/>
          <w:right w:w="108" w:type="dxa"/>
        </w:tblCellMar>
      </w:tblPr>
      <w:tblGrid>
        <w:gridCol w:w="1559"/>
        <w:gridCol w:w="1726"/>
        <w:gridCol w:w="1347"/>
        <w:gridCol w:w="1657"/>
      </w:tblGrid>
      <w:tr>
        <w:tblPrEx>
          <w:tblCellMar>
            <w:top w:w="0" w:type="dxa"/>
            <w:left w:w="108" w:type="dxa"/>
            <w:bottom w:w="0" w:type="dxa"/>
            <w:right w:w="108" w:type="dxa"/>
          </w:tblCellMar>
        </w:tblPrEx>
        <w:trPr>
          <w:trHeight w:val="270" w:hRule="atLeast"/>
        </w:trPr>
        <w:tc>
          <w:tcPr>
            <w:tcW w:w="1559" w:type="dxa"/>
            <w:tcBorders>
              <w:top w:val="single" w:color="auto" w:sz="4" w:space="0"/>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检验结果</w:t>
            </w:r>
          </w:p>
        </w:tc>
        <w:tc>
          <w:tcPr>
            <w:tcW w:w="1726"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统计量</w:t>
            </w:r>
          </w:p>
        </w:tc>
        <w:tc>
          <w:tcPr>
            <w:tcW w:w="1347"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自由度</w:t>
            </w:r>
          </w:p>
        </w:tc>
        <w:tc>
          <w:tcPr>
            <w:tcW w:w="1657"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P值</w:t>
            </w:r>
          </w:p>
        </w:tc>
      </w:tr>
      <w:tr>
        <w:tblPrEx>
          <w:tblCellMar>
            <w:top w:w="0" w:type="dxa"/>
            <w:left w:w="108" w:type="dxa"/>
            <w:bottom w:w="0" w:type="dxa"/>
            <w:right w:w="108" w:type="dxa"/>
          </w:tblCellMar>
        </w:tblPrEx>
        <w:trPr>
          <w:trHeight w:val="270" w:hRule="atLeast"/>
        </w:trPr>
        <w:tc>
          <w:tcPr>
            <w:tcW w:w="1559" w:type="dxa"/>
            <w:tcBorders>
              <w:top w:val="single" w:color="auto" w:sz="4" w:space="0"/>
              <w:left w:val="nil"/>
              <w:bottom w:val="nil"/>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模型（1）</w:t>
            </w:r>
          </w:p>
        </w:tc>
        <w:tc>
          <w:tcPr>
            <w:tcW w:w="1726"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10.13</w:t>
            </w:r>
          </w:p>
        </w:tc>
        <w:tc>
          <w:tcPr>
            <w:tcW w:w="1347"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657" w:type="dxa"/>
            <w:tcBorders>
              <w:top w:val="single" w:color="auto" w:sz="4" w:space="0"/>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0.1192</w:t>
            </w:r>
          </w:p>
        </w:tc>
      </w:tr>
      <w:tr>
        <w:tblPrEx>
          <w:tblCellMar>
            <w:top w:w="0" w:type="dxa"/>
            <w:left w:w="108" w:type="dxa"/>
            <w:bottom w:w="0" w:type="dxa"/>
            <w:right w:w="108" w:type="dxa"/>
          </w:tblCellMar>
        </w:tblPrEx>
        <w:trPr>
          <w:trHeight w:val="270" w:hRule="atLeast"/>
        </w:trPr>
        <w:tc>
          <w:tcPr>
            <w:tcW w:w="1559"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模型（2）</w:t>
            </w:r>
          </w:p>
        </w:tc>
        <w:tc>
          <w:tcPr>
            <w:tcW w:w="1726"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10.10</w:t>
            </w:r>
          </w:p>
        </w:tc>
        <w:tc>
          <w:tcPr>
            <w:tcW w:w="1347"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657"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0.1203</w:t>
            </w:r>
          </w:p>
        </w:tc>
      </w:tr>
    </w:tbl>
    <w:p>
      <w:pPr>
        <w:pStyle w:val="3"/>
        <w:spacing w:beforeLines="50" w:after="0" w:line="240" w:lineRule="auto"/>
        <w:rPr>
          <w:sz w:val="24"/>
          <w:szCs w:val="24"/>
        </w:rPr>
      </w:pPr>
      <w:r>
        <w:rPr>
          <w:rFonts w:hint="eastAsia"/>
          <w:sz w:val="24"/>
          <w:szCs w:val="24"/>
        </w:rPr>
        <w:t>3.2实证结果与分析</w:t>
      </w:r>
    </w:p>
    <w:p>
      <w:pPr>
        <w:ind w:firstLine="480" w:firstLineChars="200"/>
        <w:rPr>
          <w:sz w:val="24"/>
          <w:szCs w:val="24"/>
        </w:rPr>
      </w:pPr>
      <w:r>
        <w:rPr>
          <w:rFonts w:hint="eastAsia"/>
          <w:sz w:val="24"/>
          <w:szCs w:val="24"/>
        </w:rPr>
        <w:t>本文使用stata15软件对2014-2018年20家城商行和7家农商行的面板数据进行回归，结果如表4和表5所示。</w:t>
      </w:r>
    </w:p>
    <w:p>
      <w:pPr>
        <w:ind w:firstLine="420"/>
        <w:rPr>
          <w:sz w:val="24"/>
          <w:szCs w:val="24"/>
        </w:rPr>
      </w:pPr>
      <w:r>
        <w:rPr>
          <w:sz w:val="24"/>
          <w:szCs w:val="24"/>
        </w:rPr>
        <w:t>表</w:t>
      </w:r>
      <w:r>
        <w:rPr>
          <w:rFonts w:hint="eastAsia"/>
          <w:sz w:val="24"/>
          <w:szCs w:val="24"/>
        </w:rPr>
        <w:t>4给出了城商行绩效对非利息收入占比与收入多元化指数的回归结果，结果表明，对应于模型（1）和模型（2），非利息收入占比（NII）和收入多元化指数（DIV）的系数分别为-0.328911、-4.422738，t值分别为-1.78和-7.63，模型（1）的拟合度为52.19%，模型（2）的拟合度为72.57%，且非利息收入（NII）在10%的显著性水平下与城商行绩效（ROE）之间存在显著的负相关性，非利息收入占比（NII）每提高一个百分点，ROE会降低0.328911%；而在1%的显著性水平下，收入多元化指数（DIV）与城商行绩效（ROE）之间存在显著的负相关性，收入多元化指数（DIV）每增加1%，城商行绩效（ROE）降低4.422738%。在模型（1）中，净息差与城商行绩效在5%的显著性水平下存在负相关关系，在1%显著性水平下，净利差与城商行绩效呈显著的正相关性，成本收入比与城商行绩效在10%的显著性水平下为负相关关系，其他变量均不显著。在模型（2）中，资产规模在10%的显著性水平下对城商行绩效产生显著的正向影响，其余控制变量均不显著。</w:t>
      </w:r>
    </w:p>
    <w:p>
      <w:pPr>
        <w:jc w:val="center"/>
        <w:rPr>
          <w:sz w:val="24"/>
          <w:szCs w:val="24"/>
        </w:rPr>
      </w:pPr>
      <w:r>
        <w:rPr>
          <w:rFonts w:hint="eastAsia"/>
          <w:sz w:val="24"/>
          <w:szCs w:val="24"/>
        </w:rPr>
        <w:t>表4 城商行绩效对非利息收入占比与收入多元化指数的回归结果</w:t>
      </w:r>
    </w:p>
    <w:tbl>
      <w:tblPr>
        <w:tblStyle w:val="11"/>
        <w:tblW w:w="8239" w:type="dxa"/>
        <w:tblInd w:w="91" w:type="dxa"/>
        <w:tblLayout w:type="autofit"/>
        <w:tblCellMar>
          <w:top w:w="0" w:type="dxa"/>
          <w:left w:w="108" w:type="dxa"/>
          <w:bottom w:w="0" w:type="dxa"/>
          <w:right w:w="108" w:type="dxa"/>
        </w:tblCellMar>
      </w:tblPr>
      <w:tblGrid>
        <w:gridCol w:w="1368"/>
        <w:gridCol w:w="2972"/>
        <w:gridCol w:w="1311"/>
        <w:gridCol w:w="2588"/>
      </w:tblGrid>
      <w:tr>
        <w:tblPrEx>
          <w:tblCellMar>
            <w:top w:w="0" w:type="dxa"/>
            <w:left w:w="108" w:type="dxa"/>
            <w:bottom w:w="0" w:type="dxa"/>
            <w:right w:w="108" w:type="dxa"/>
          </w:tblCellMar>
        </w:tblPrEx>
        <w:trPr>
          <w:trHeight w:val="270" w:hRule="atLeast"/>
        </w:trPr>
        <w:tc>
          <w:tcPr>
            <w:tcW w:w="4340"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模型（1）</w:t>
            </w:r>
          </w:p>
        </w:tc>
        <w:tc>
          <w:tcPr>
            <w:tcW w:w="3899"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模型（2）</w:t>
            </w:r>
          </w:p>
        </w:tc>
      </w:tr>
      <w:tr>
        <w:tblPrEx>
          <w:tblCellMar>
            <w:top w:w="0" w:type="dxa"/>
            <w:left w:w="108" w:type="dxa"/>
            <w:bottom w:w="0" w:type="dxa"/>
            <w:right w:w="108" w:type="dxa"/>
          </w:tblCellMar>
        </w:tblPrEx>
        <w:trPr>
          <w:trHeight w:val="270"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变量</w:t>
            </w:r>
          </w:p>
        </w:tc>
        <w:tc>
          <w:tcPr>
            <w:tcW w:w="297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系数</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变量</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系数</w:t>
            </w:r>
          </w:p>
        </w:tc>
      </w:tr>
      <w:tr>
        <w:tblPrEx>
          <w:tblCellMar>
            <w:top w:w="0" w:type="dxa"/>
            <w:left w:w="108" w:type="dxa"/>
            <w:bottom w:w="0" w:type="dxa"/>
            <w:right w:w="108" w:type="dxa"/>
          </w:tblCellMar>
        </w:tblPrEx>
        <w:trPr>
          <w:trHeight w:val="270"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NII</w:t>
            </w:r>
          </w:p>
        </w:tc>
        <w:tc>
          <w:tcPr>
            <w:tcW w:w="297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-0.328911（-1.78）*</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DIV</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-4.422738（-7.63）***</w:t>
            </w:r>
          </w:p>
        </w:tc>
      </w:tr>
      <w:tr>
        <w:tblPrEx>
          <w:tblCellMar>
            <w:top w:w="0" w:type="dxa"/>
            <w:left w:w="108" w:type="dxa"/>
            <w:bottom w:w="0" w:type="dxa"/>
            <w:right w:w="108" w:type="dxa"/>
          </w:tblCellMar>
        </w:tblPrEx>
        <w:trPr>
          <w:trHeight w:val="270"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NIM</w:t>
            </w:r>
          </w:p>
        </w:tc>
        <w:tc>
          <w:tcPr>
            <w:tcW w:w="297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-9.031351（-2.13）**</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NIM</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2.11863（0.66）</w:t>
            </w:r>
          </w:p>
        </w:tc>
      </w:tr>
      <w:tr>
        <w:tblPrEx>
          <w:tblCellMar>
            <w:top w:w="0" w:type="dxa"/>
            <w:left w:w="108" w:type="dxa"/>
            <w:bottom w:w="0" w:type="dxa"/>
            <w:right w:w="108" w:type="dxa"/>
          </w:tblCellMar>
        </w:tblPrEx>
        <w:trPr>
          <w:trHeight w:val="270"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NIS</w:t>
            </w:r>
          </w:p>
        </w:tc>
        <w:tc>
          <w:tcPr>
            <w:tcW w:w="297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13.62648（3.24）***</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NIS</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2.050938（0.63）</w:t>
            </w:r>
          </w:p>
        </w:tc>
      </w:tr>
      <w:tr>
        <w:tblPrEx>
          <w:tblCellMar>
            <w:top w:w="0" w:type="dxa"/>
            <w:left w:w="108" w:type="dxa"/>
            <w:bottom w:w="0" w:type="dxa"/>
            <w:right w:w="108" w:type="dxa"/>
          </w:tblCellMar>
        </w:tblPrEx>
        <w:trPr>
          <w:trHeight w:val="270"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COSTINC</w:t>
            </w:r>
          </w:p>
        </w:tc>
        <w:tc>
          <w:tcPr>
            <w:tcW w:w="297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-1.90064（-1.77）*</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COSTINC</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-1.184008（-1.45）</w:t>
            </w:r>
          </w:p>
        </w:tc>
      </w:tr>
      <w:tr>
        <w:tblPrEx>
          <w:tblCellMar>
            <w:top w:w="0" w:type="dxa"/>
            <w:left w:w="108" w:type="dxa"/>
            <w:bottom w:w="0" w:type="dxa"/>
            <w:right w:w="108" w:type="dxa"/>
          </w:tblCellMar>
        </w:tblPrEx>
        <w:trPr>
          <w:trHeight w:val="270"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EA</w:t>
            </w:r>
          </w:p>
        </w:tc>
        <w:tc>
          <w:tcPr>
            <w:tcW w:w="297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-2.508315（-1.33）</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EA</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1.330503（0.89）</w:t>
            </w:r>
          </w:p>
        </w:tc>
      </w:tr>
      <w:tr>
        <w:tblPrEx>
          <w:tblCellMar>
            <w:top w:w="0" w:type="dxa"/>
            <w:left w:w="108" w:type="dxa"/>
            <w:bottom w:w="0" w:type="dxa"/>
            <w:right w:w="108" w:type="dxa"/>
          </w:tblCellMar>
        </w:tblPrEx>
        <w:trPr>
          <w:trHeight w:val="270"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TA</w:t>
            </w:r>
          </w:p>
        </w:tc>
        <w:tc>
          <w:tcPr>
            <w:tcW w:w="297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0.6306562（1.49）</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TA</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0.5753957（1.81）*</w:t>
            </w:r>
          </w:p>
        </w:tc>
      </w:tr>
      <w:tr>
        <w:tblPrEx>
          <w:tblCellMar>
            <w:top w:w="0" w:type="dxa"/>
            <w:left w:w="108" w:type="dxa"/>
            <w:bottom w:w="0" w:type="dxa"/>
            <w:right w:w="108" w:type="dxa"/>
          </w:tblCellMar>
        </w:tblPrEx>
        <w:trPr>
          <w:trHeight w:val="270"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CAR</w:t>
            </w:r>
          </w:p>
        </w:tc>
        <w:tc>
          <w:tcPr>
            <w:tcW w:w="297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0.061647（0.06）</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CAR</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0.1596658（0.20）</w:t>
            </w:r>
          </w:p>
        </w:tc>
      </w:tr>
      <w:tr>
        <w:tblPrEx>
          <w:tblCellMar>
            <w:top w:w="0" w:type="dxa"/>
            <w:left w:w="108" w:type="dxa"/>
            <w:bottom w:w="0" w:type="dxa"/>
            <w:right w:w="108" w:type="dxa"/>
          </w:tblCellMar>
        </w:tblPrEx>
        <w:trPr>
          <w:trHeight w:val="270"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IFID</w:t>
            </w:r>
          </w:p>
        </w:tc>
        <w:tc>
          <w:tcPr>
            <w:tcW w:w="297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-0.5145874（-0.52）</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IFID</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0.2339535（0.32）</w:t>
            </w:r>
          </w:p>
        </w:tc>
      </w:tr>
      <w:tr>
        <w:tblPrEx>
          <w:tblCellMar>
            <w:top w:w="0" w:type="dxa"/>
            <w:left w:w="108" w:type="dxa"/>
            <w:bottom w:w="0" w:type="dxa"/>
            <w:right w:w="108" w:type="dxa"/>
          </w:tblCellMar>
        </w:tblPrEx>
        <w:trPr>
          <w:trHeight w:val="270"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GDP</w:t>
            </w:r>
          </w:p>
        </w:tc>
        <w:tc>
          <w:tcPr>
            <w:tcW w:w="297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0.2406699（1.51）</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GDP</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0.017687（0.44）</w:t>
            </w:r>
          </w:p>
        </w:tc>
      </w:tr>
      <w:tr>
        <w:tblPrEx>
          <w:tblCellMar>
            <w:top w:w="0" w:type="dxa"/>
            <w:left w:w="108" w:type="dxa"/>
            <w:bottom w:w="0" w:type="dxa"/>
            <w:right w:w="108" w:type="dxa"/>
          </w:tblCellMar>
        </w:tblPrEx>
        <w:trPr>
          <w:trHeight w:val="285"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C（常数）</w:t>
            </w:r>
          </w:p>
        </w:tc>
        <w:tc>
          <w:tcPr>
            <w:tcW w:w="2972" w:type="dxa"/>
            <w:tcBorders>
              <w:top w:val="nil"/>
              <w:left w:val="nil"/>
              <w:bottom w:val="nil"/>
              <w:right w:val="nil"/>
            </w:tcBorders>
            <w:shd w:val="clear" w:color="auto" w:fill="auto"/>
            <w:noWrap/>
            <w:vAlign w:val="center"/>
          </w:tcPr>
          <w:p>
            <w:pPr>
              <w:widowControl/>
              <w:jc w:val="center"/>
              <w:rPr>
                <w:rFonts w:ascii="Calibri" w:hAnsi="Calibri" w:eastAsia="宋体" w:cs="宋体"/>
                <w:color w:val="000000"/>
                <w:kern w:val="0"/>
                <w:sz w:val="24"/>
                <w:szCs w:val="24"/>
              </w:rPr>
            </w:pPr>
            <w:r>
              <w:rPr>
                <w:rFonts w:ascii="Calibri" w:hAnsi="Calibri" w:eastAsia="宋体" w:cs="宋体"/>
                <w:color w:val="000000"/>
                <w:kern w:val="0"/>
                <w:sz w:val="24"/>
                <w:szCs w:val="24"/>
              </w:rPr>
              <w:t>78.66173</w:t>
            </w:r>
            <w:r>
              <w:rPr>
                <w:rFonts w:hint="eastAsia" w:ascii="宋体" w:hAnsi="宋体" w:eastAsia="宋体" w:cs="宋体"/>
                <w:color w:val="000000"/>
                <w:kern w:val="0"/>
                <w:sz w:val="24"/>
                <w:szCs w:val="24"/>
              </w:rPr>
              <w:t>（</w:t>
            </w:r>
            <w:r>
              <w:rPr>
                <w:rFonts w:ascii="Calibri" w:hAnsi="Calibri" w:eastAsia="宋体" w:cs="宋体"/>
                <w:color w:val="000000"/>
                <w:kern w:val="0"/>
                <w:sz w:val="24"/>
                <w:szCs w:val="24"/>
              </w:rPr>
              <w:t>0.79</w:t>
            </w:r>
            <w:r>
              <w:rPr>
                <w:rFonts w:hint="eastAsia" w:ascii="宋体" w:hAnsi="宋体" w:eastAsia="宋体" w:cs="宋体"/>
                <w:color w:val="000000"/>
                <w:kern w:val="0"/>
                <w:sz w:val="24"/>
                <w:szCs w:val="24"/>
              </w:rPr>
              <w:t>）</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C（常数）</w:t>
            </w:r>
          </w:p>
        </w:tc>
        <w:tc>
          <w:tcPr>
            <w:tcW w:w="2588" w:type="dxa"/>
            <w:tcBorders>
              <w:top w:val="nil"/>
              <w:left w:val="nil"/>
              <w:bottom w:val="nil"/>
              <w:right w:val="nil"/>
            </w:tcBorders>
            <w:shd w:val="clear" w:color="auto" w:fill="auto"/>
            <w:noWrap/>
            <w:vAlign w:val="center"/>
          </w:tcPr>
          <w:p>
            <w:pPr>
              <w:widowControl/>
              <w:jc w:val="center"/>
              <w:rPr>
                <w:rFonts w:ascii="Calibri" w:hAnsi="Calibri" w:eastAsia="宋体" w:cs="宋体"/>
                <w:color w:val="000000"/>
                <w:kern w:val="0"/>
                <w:sz w:val="24"/>
                <w:szCs w:val="24"/>
              </w:rPr>
            </w:pPr>
            <w:r>
              <w:rPr>
                <w:rFonts w:hint="eastAsia" w:ascii="Calibri" w:hAnsi="Calibri" w:eastAsia="宋体" w:cs="宋体"/>
                <w:color w:val="000000"/>
                <w:kern w:val="0"/>
                <w:sz w:val="24"/>
                <w:szCs w:val="24"/>
              </w:rPr>
              <w:t>-23.13987（-0.31）</w:t>
            </w:r>
          </w:p>
        </w:tc>
      </w:tr>
      <w:tr>
        <w:tblPrEx>
          <w:tblCellMar>
            <w:top w:w="0" w:type="dxa"/>
            <w:left w:w="108" w:type="dxa"/>
            <w:bottom w:w="0" w:type="dxa"/>
            <w:right w:w="108" w:type="dxa"/>
          </w:tblCellMar>
        </w:tblPrEx>
        <w:trPr>
          <w:trHeight w:val="270" w:hRule="atLeast"/>
        </w:trPr>
        <w:tc>
          <w:tcPr>
            <w:tcW w:w="136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P值</w:t>
            </w:r>
          </w:p>
        </w:tc>
        <w:tc>
          <w:tcPr>
            <w:tcW w:w="2972"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P值</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270" w:hRule="atLeast"/>
        </w:trPr>
        <w:tc>
          <w:tcPr>
            <w:tcW w:w="1368"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R-sq</w:t>
            </w:r>
          </w:p>
        </w:tc>
        <w:tc>
          <w:tcPr>
            <w:tcW w:w="2972"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52.19%</w:t>
            </w:r>
          </w:p>
        </w:tc>
        <w:tc>
          <w:tcPr>
            <w:tcW w:w="131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R-sq</w:t>
            </w:r>
          </w:p>
        </w:tc>
        <w:tc>
          <w:tcPr>
            <w:tcW w:w="2588"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72.57%</w:t>
            </w:r>
          </w:p>
        </w:tc>
      </w:tr>
    </w:tbl>
    <w:p>
      <w:pPr>
        <w:ind w:firstLine="420"/>
        <w:rPr>
          <w:sz w:val="18"/>
          <w:szCs w:val="18"/>
        </w:rPr>
      </w:pPr>
      <w:r>
        <w:rPr>
          <w:sz w:val="18"/>
          <w:szCs w:val="18"/>
        </w:rPr>
        <w:t>注</w:t>
      </w:r>
      <w:r>
        <w:rPr>
          <w:rFonts w:hint="eastAsia"/>
          <w:sz w:val="18"/>
          <w:szCs w:val="18"/>
        </w:rPr>
        <w:t>：</w:t>
      </w:r>
      <w:r>
        <w:rPr>
          <w:sz w:val="18"/>
          <w:szCs w:val="18"/>
        </w:rPr>
        <w:t>括号内为t值</w:t>
      </w:r>
      <w:r>
        <w:rPr>
          <w:rFonts w:hint="eastAsia"/>
          <w:sz w:val="18"/>
          <w:szCs w:val="18"/>
        </w:rPr>
        <w:t>，***、**、*分别表示1%、5%、10%的显著性水平</w:t>
      </w:r>
    </w:p>
    <w:p>
      <w:pPr>
        <w:jc w:val="center"/>
        <w:rPr>
          <w:sz w:val="24"/>
          <w:szCs w:val="24"/>
        </w:rPr>
      </w:pPr>
      <w:r>
        <w:rPr>
          <w:rFonts w:hint="eastAsia"/>
          <w:sz w:val="24"/>
          <w:szCs w:val="24"/>
        </w:rPr>
        <w:t>表5农商行绩效对非利息收入占比与收入多元化指数的回归结果</w:t>
      </w:r>
    </w:p>
    <w:tbl>
      <w:tblPr>
        <w:tblStyle w:val="11"/>
        <w:tblW w:w="8239" w:type="dxa"/>
        <w:tblInd w:w="91" w:type="dxa"/>
        <w:tblLayout w:type="autofit"/>
        <w:tblCellMar>
          <w:top w:w="0" w:type="dxa"/>
          <w:left w:w="108" w:type="dxa"/>
          <w:bottom w:w="0" w:type="dxa"/>
          <w:right w:w="108" w:type="dxa"/>
        </w:tblCellMar>
      </w:tblPr>
      <w:tblGrid>
        <w:gridCol w:w="1323"/>
        <w:gridCol w:w="3017"/>
        <w:gridCol w:w="1311"/>
        <w:gridCol w:w="2588"/>
      </w:tblGrid>
      <w:tr>
        <w:tblPrEx>
          <w:tblCellMar>
            <w:top w:w="0" w:type="dxa"/>
            <w:left w:w="108" w:type="dxa"/>
            <w:bottom w:w="0" w:type="dxa"/>
            <w:right w:w="108" w:type="dxa"/>
          </w:tblCellMar>
        </w:tblPrEx>
        <w:trPr>
          <w:trHeight w:val="270" w:hRule="atLeast"/>
        </w:trPr>
        <w:tc>
          <w:tcPr>
            <w:tcW w:w="4340"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模型（1）</w:t>
            </w:r>
          </w:p>
        </w:tc>
        <w:tc>
          <w:tcPr>
            <w:tcW w:w="3899"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模型（2）</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变量</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系数</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变量</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系数</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NII</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0.026883（0.64）</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DIV</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0.0196022（0.68）</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NIM</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1.807564（0.78）</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NIM</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1.889854（0.82）</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NIS</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-0.0483265（-0.02）</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NIS</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-0.1146292（-0.05）</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COSTINC</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-0.0433184（-0.99）</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COSTINC</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-0.0448097（-1.01）</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EA</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-1.002703（-5.13）***</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EA</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-1.35163（-5.14）***</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TA</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2.033481（2.47）**</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TA</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2.02324（2.47）**</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CAR</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0．0506927（0.30）</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CAR</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0.0513053（0.30）</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IFID</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-1.351925（-2.98）***</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IFID</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-1.35163（-3.00）***</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GDP</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-12.24385（-3.45）***</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GDP</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-12.19734（-3.43）***</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C（常数）</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112．5218(5.10)***</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C（常数）</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112.1685（5.08）***</w:t>
            </w:r>
          </w:p>
        </w:tc>
      </w:tr>
      <w:tr>
        <w:tblPrEx>
          <w:tblCellMar>
            <w:top w:w="0" w:type="dxa"/>
            <w:left w:w="108" w:type="dxa"/>
            <w:bottom w:w="0" w:type="dxa"/>
            <w:right w:w="108" w:type="dxa"/>
          </w:tblCellMar>
        </w:tblPrEx>
        <w:trPr>
          <w:trHeight w:val="270" w:hRule="atLeast"/>
        </w:trPr>
        <w:tc>
          <w:tcPr>
            <w:tcW w:w="1323"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P值</w:t>
            </w:r>
          </w:p>
        </w:tc>
        <w:tc>
          <w:tcPr>
            <w:tcW w:w="3017"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31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P值</w:t>
            </w:r>
          </w:p>
        </w:tc>
        <w:tc>
          <w:tcPr>
            <w:tcW w:w="2588"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0</w:t>
            </w:r>
          </w:p>
        </w:tc>
      </w:tr>
      <w:tr>
        <w:tblPrEx>
          <w:tblCellMar>
            <w:top w:w="0" w:type="dxa"/>
            <w:left w:w="108" w:type="dxa"/>
            <w:bottom w:w="0" w:type="dxa"/>
            <w:right w:w="108" w:type="dxa"/>
          </w:tblCellMar>
        </w:tblPrEx>
        <w:trPr>
          <w:trHeight w:val="270" w:hRule="atLeast"/>
        </w:trPr>
        <w:tc>
          <w:tcPr>
            <w:tcW w:w="1323"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R-sq</w:t>
            </w:r>
          </w:p>
        </w:tc>
        <w:tc>
          <w:tcPr>
            <w:tcW w:w="3017"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91.92%</w:t>
            </w:r>
          </w:p>
        </w:tc>
        <w:tc>
          <w:tcPr>
            <w:tcW w:w="1311"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R-sq</w:t>
            </w:r>
          </w:p>
        </w:tc>
        <w:tc>
          <w:tcPr>
            <w:tcW w:w="2588"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91.94%</w:t>
            </w:r>
          </w:p>
        </w:tc>
      </w:tr>
    </w:tbl>
    <w:p>
      <w:pPr>
        <w:ind w:firstLine="420"/>
        <w:rPr>
          <w:sz w:val="18"/>
          <w:szCs w:val="18"/>
        </w:rPr>
      </w:pPr>
      <w:r>
        <w:rPr>
          <w:sz w:val="18"/>
          <w:szCs w:val="18"/>
        </w:rPr>
        <w:t>注</w:t>
      </w:r>
      <w:r>
        <w:rPr>
          <w:rFonts w:hint="eastAsia"/>
          <w:sz w:val="18"/>
          <w:szCs w:val="18"/>
        </w:rPr>
        <w:t>：</w:t>
      </w:r>
      <w:r>
        <w:rPr>
          <w:sz w:val="18"/>
          <w:szCs w:val="18"/>
        </w:rPr>
        <w:t>括号内为t值</w:t>
      </w:r>
      <w:r>
        <w:rPr>
          <w:rFonts w:hint="eastAsia"/>
          <w:sz w:val="18"/>
          <w:szCs w:val="18"/>
        </w:rPr>
        <w:t>，***、**、*分别表示在1%、5%、10%的显著性水平下拒绝原假设</w:t>
      </w:r>
    </w:p>
    <w:p>
      <w:pPr>
        <w:ind w:firstLine="420"/>
        <w:rPr>
          <w:sz w:val="24"/>
          <w:szCs w:val="24"/>
        </w:rPr>
      </w:pPr>
      <w:r>
        <w:rPr>
          <w:rFonts w:hint="eastAsia"/>
          <w:sz w:val="24"/>
          <w:szCs w:val="24"/>
        </w:rPr>
        <w:t>从表5可以看出，在农商行绩效对非利息收入占比与收入多元化指数的回归中，非利息收入占比（NII）与收入多元化指数（DIV）的系数分别为0.026993、0.0196022，两个模型的拟合度都很高，达到了90%以上，说明解释变量很好的解释了被解释变量，但是t值都小于1，表明非利息收入占比（NII）、收入多元化指数（DIV）与农商行绩效之间都是存在正相关性，但是不显著。在两个模型中，互联网金融指数、GDP指数和权益比在1%的显著性水平下与农商行绩效负相关，资产规模在5%的显著性水平下与农商行绩效正相关，其他控制变量均不显著。</w:t>
      </w:r>
    </w:p>
    <w:p>
      <w:pPr>
        <w:pStyle w:val="2"/>
        <w:adjustRightInd w:val="0"/>
        <w:snapToGrid w:val="0"/>
        <w:spacing w:before="120" w:after="120" w:line="240" w:lineRule="auto"/>
        <w:rPr>
          <w:sz w:val="28"/>
          <w:szCs w:val="28"/>
        </w:rPr>
      </w:pPr>
      <w:r>
        <w:rPr>
          <w:rFonts w:hint="eastAsia"/>
          <w:sz w:val="28"/>
          <w:szCs w:val="28"/>
        </w:rPr>
        <w:t>4.结论与建议</w:t>
      </w:r>
    </w:p>
    <w:p>
      <w:pPr>
        <w:ind w:left="420"/>
        <w:rPr>
          <w:b/>
          <w:sz w:val="24"/>
          <w:szCs w:val="24"/>
        </w:rPr>
      </w:pPr>
      <w:r>
        <w:rPr>
          <w:rFonts w:hint="eastAsia"/>
          <w:b/>
          <w:sz w:val="24"/>
          <w:szCs w:val="24"/>
        </w:rPr>
        <w:t>4.1结论</w:t>
      </w:r>
      <w:r>
        <w:rPr>
          <w:rFonts w:hint="eastAsia"/>
          <w:b/>
          <w:sz w:val="24"/>
          <w:szCs w:val="24"/>
        </w:rPr>
        <w:tab/>
      </w:r>
    </w:p>
    <w:p>
      <w:pPr>
        <w:ind w:firstLine="480" w:firstLineChars="200"/>
        <w:rPr>
          <w:sz w:val="24"/>
          <w:szCs w:val="24"/>
        </w:rPr>
      </w:pPr>
      <w:r>
        <w:rPr>
          <w:rFonts w:hint="eastAsia"/>
          <w:sz w:val="24"/>
          <w:szCs w:val="24"/>
        </w:rPr>
        <w:t>通过以上实证分析表明，非利息收入对我国城（农）商行绩效的影响并不一致。非利息收入不利于上市城商行绩效的提升，会降低银行绩效；而对于农商行，非利息收入对上市农商行绩效产生正向的影响，但并不显著。实证结果与理论分析基本一致。</w:t>
      </w:r>
    </w:p>
    <w:p>
      <w:pPr>
        <w:ind w:firstLine="480" w:firstLineChars="200"/>
        <w:rPr>
          <w:sz w:val="24"/>
          <w:szCs w:val="24"/>
        </w:rPr>
      </w:pPr>
      <w:r>
        <w:rPr>
          <w:rFonts w:hint="eastAsia"/>
          <w:sz w:val="24"/>
          <w:szCs w:val="24"/>
        </w:rPr>
        <w:t>关于非利息收入对城商行绩效产生的不利影响，笔者认为主要基于以下三个原因：第一，</w:t>
      </w:r>
      <w:r>
        <w:rPr>
          <w:sz w:val="24"/>
          <w:szCs w:val="24"/>
        </w:rPr>
        <w:t>相较于大型商业银行</w:t>
      </w:r>
      <w:r>
        <w:rPr>
          <w:rFonts w:hint="eastAsia"/>
          <w:sz w:val="24"/>
          <w:szCs w:val="24"/>
        </w:rPr>
        <w:t>，</w:t>
      </w:r>
      <w:r>
        <w:rPr>
          <w:sz w:val="24"/>
          <w:szCs w:val="24"/>
        </w:rPr>
        <w:t>城商行的非利息收入占比较低</w:t>
      </w:r>
      <w:r>
        <w:rPr>
          <w:rFonts w:hint="eastAsia"/>
          <w:sz w:val="24"/>
          <w:szCs w:val="24"/>
        </w:rPr>
        <w:t>。目前，我国城商行仍然十分依赖于以利息收入为主的发展模式，非利息收入业务发展不成熟，服务水平与资产规模都不如大型商业银行，经营范围难以扩展，因此扩展非利息收入业务反而导致银行绩效的波动；第二，非利息收入产生的成本过高。城商行目前的规模未能实现规模效应，发展非利息收入业务带来的收入可能还不够摊薄其产生的各种成本，反而会降低利润；第三，风险控制能力不足。城商行发展非利息收入业务时未充分考虑到其带来的经营风险，非利息收入的转换成本低，客户的流动性大，而且其细分业务中的投资收益存在一定的风险，所以非利息收入自身所产生的风险可能大于其给银行所带来的风险分散效应。</w:t>
      </w:r>
    </w:p>
    <w:p>
      <w:pPr>
        <w:ind w:firstLine="420"/>
        <w:rPr>
          <w:rFonts w:hint="eastAsia"/>
          <w:sz w:val="24"/>
          <w:szCs w:val="24"/>
        </w:rPr>
      </w:pPr>
      <w:r>
        <w:rPr>
          <w:rFonts w:hint="eastAsia"/>
          <w:sz w:val="24"/>
          <w:szCs w:val="24"/>
        </w:rPr>
        <w:t>对于农商行，非利息收入对其绩效的正向影响并不显著原因主要是基于两个方面的原因：第一，相比于城商行，农商行的非利息收入占比更小，在非利息收入对城商行产生不利影响时，由于规模的限制，从而使其对农商行的影响并不显著；第二，细分非利息收入业务对农商行产生的影响相互抵消。占比较大的、相对比较稳定的手续费收入的增加可以为农商行带来收入又不会增加太大的风险，有利于提高银行绩效，而投资收益这类占比小于手续费收入的业务风险较大，增加了农商行收入的不稳定性，不利于银行绩效提高。因此，非利息收入对其绩效呈正向影响。</w:t>
      </w:r>
    </w:p>
    <w:p>
      <w:pPr>
        <w:ind w:firstLine="420"/>
        <w:rPr>
          <w:rFonts w:hint="eastAsia"/>
          <w:sz w:val="24"/>
          <w:szCs w:val="24"/>
        </w:rPr>
      </w:pPr>
    </w:p>
    <w:p>
      <w:pPr>
        <w:ind w:firstLine="420"/>
        <w:rPr>
          <w:b/>
          <w:sz w:val="24"/>
          <w:szCs w:val="24"/>
        </w:rPr>
      </w:pPr>
      <w:r>
        <w:rPr>
          <w:rFonts w:hint="eastAsia"/>
          <w:b/>
          <w:sz w:val="24"/>
          <w:szCs w:val="24"/>
        </w:rPr>
        <w:t>4.2建议</w:t>
      </w:r>
    </w:p>
    <w:p>
      <w:pPr>
        <w:ind w:firstLine="480" w:firstLineChars="200"/>
        <w:rPr>
          <w:sz w:val="24"/>
          <w:szCs w:val="24"/>
        </w:rPr>
      </w:pPr>
      <w:r>
        <w:rPr>
          <w:sz w:val="24"/>
          <w:szCs w:val="24"/>
        </w:rPr>
        <w:t>根据实证分析的结果</w:t>
      </w:r>
      <w:r>
        <w:rPr>
          <w:rFonts w:hint="eastAsia"/>
          <w:sz w:val="24"/>
          <w:szCs w:val="24"/>
        </w:rPr>
        <w:t>并结合理论分析，本文尝试对城（农）商行如何提升其绩效提出如下建议：</w:t>
      </w:r>
    </w:p>
    <w:p>
      <w:pPr>
        <w:ind w:firstLine="480" w:firstLineChars="200"/>
        <w:rPr>
          <w:sz w:val="24"/>
          <w:szCs w:val="24"/>
        </w:rPr>
      </w:pPr>
      <w:r>
        <w:rPr>
          <w:rFonts w:hint="eastAsia"/>
          <w:sz w:val="24"/>
          <w:szCs w:val="24"/>
        </w:rPr>
        <w:t>对于城商行来说，非利息收入增长会降低其绩效。因此，目前城商行仍然需要把精力放在传统业务上，不宜再扩展非利息收入业务。在利息收入业务上，与大型商业银行的客户群错开，重点关注贷款难的小微企业，加大业务创新能力，迎合客户需求，积极主动的扩展客户群，稳定客户资源。而对于现存的非利息收入业务对城商行绩效造成的不利影响，首先，</w:t>
      </w:r>
      <w:r>
        <w:rPr>
          <w:sz w:val="24"/>
          <w:szCs w:val="24"/>
        </w:rPr>
        <w:t>城商行应该加强成本控制能力</w:t>
      </w:r>
      <w:r>
        <w:rPr>
          <w:rFonts w:hint="eastAsia"/>
          <w:sz w:val="24"/>
          <w:szCs w:val="24"/>
        </w:rPr>
        <w:t>，</w:t>
      </w:r>
      <w:r>
        <w:rPr>
          <w:sz w:val="24"/>
          <w:szCs w:val="24"/>
        </w:rPr>
        <w:t>可以通过培养非利息收入业务方面的人才</w:t>
      </w:r>
      <w:r>
        <w:rPr>
          <w:rFonts w:hint="eastAsia"/>
          <w:sz w:val="24"/>
          <w:szCs w:val="24"/>
        </w:rPr>
        <w:t>，</w:t>
      </w:r>
      <w:r>
        <w:rPr>
          <w:sz w:val="24"/>
          <w:szCs w:val="24"/>
        </w:rPr>
        <w:t>提高该业务的效率和服务水平</w:t>
      </w:r>
      <w:r>
        <w:rPr>
          <w:rFonts w:hint="eastAsia"/>
          <w:sz w:val="24"/>
          <w:szCs w:val="24"/>
        </w:rPr>
        <w:t>，</w:t>
      </w:r>
      <w:r>
        <w:rPr>
          <w:sz w:val="24"/>
          <w:szCs w:val="24"/>
        </w:rPr>
        <w:t>从而降低其产生的费用成本</w:t>
      </w:r>
      <w:r>
        <w:rPr>
          <w:rFonts w:hint="eastAsia"/>
          <w:sz w:val="24"/>
          <w:szCs w:val="24"/>
        </w:rPr>
        <w:t>。其次，城商行应该增强风险防护意识，考虑到其可能带来的风险，对于投资收益这种高风险收入应该加强风险防控，发生风险损失时，及时制定好应对策略，对于手续费收入这类低风险收入，应该加强监督，以便及时进行止损。</w:t>
      </w:r>
    </w:p>
    <w:p>
      <w:pPr>
        <w:ind w:firstLine="480" w:firstLineChars="200"/>
        <w:rPr>
          <w:sz w:val="24"/>
          <w:szCs w:val="24"/>
        </w:rPr>
      </w:pPr>
      <w:r>
        <w:rPr>
          <w:sz w:val="24"/>
          <w:szCs w:val="24"/>
        </w:rPr>
        <w:t>对于农商行而言</w:t>
      </w:r>
      <w:r>
        <w:rPr>
          <w:rFonts w:hint="eastAsia"/>
          <w:sz w:val="24"/>
          <w:szCs w:val="24"/>
        </w:rPr>
        <w:t>，</w:t>
      </w:r>
      <w:r>
        <w:rPr>
          <w:sz w:val="24"/>
          <w:szCs w:val="24"/>
        </w:rPr>
        <w:t>非利息收入增长会对其产生不显著的正向影响</w:t>
      </w:r>
      <w:r>
        <w:rPr>
          <w:rFonts w:hint="eastAsia"/>
          <w:sz w:val="24"/>
          <w:szCs w:val="24"/>
        </w:rPr>
        <w:t>。因此，</w:t>
      </w:r>
      <w:r>
        <w:rPr>
          <w:sz w:val="24"/>
          <w:szCs w:val="24"/>
        </w:rPr>
        <w:t>农商行应与城商行一样</w:t>
      </w:r>
      <w:r>
        <w:rPr>
          <w:rFonts w:hint="eastAsia"/>
          <w:sz w:val="24"/>
          <w:szCs w:val="24"/>
        </w:rPr>
        <w:t>，</w:t>
      </w:r>
      <w:r>
        <w:rPr>
          <w:sz w:val="24"/>
          <w:szCs w:val="24"/>
        </w:rPr>
        <w:t>不能松懈对于传统业务的发展</w:t>
      </w:r>
      <w:r>
        <w:rPr>
          <w:rFonts w:hint="eastAsia"/>
          <w:sz w:val="24"/>
          <w:szCs w:val="24"/>
        </w:rPr>
        <w:t>，通过提升服务水平与业务能力，不断扩展银行规模，为非利息收入的发展奠定良好的基础。</w:t>
      </w:r>
      <w:r>
        <w:rPr>
          <w:sz w:val="24"/>
          <w:szCs w:val="24"/>
        </w:rPr>
        <w:t>在发展传统业务时可以适当拓展非利息收入业务</w:t>
      </w:r>
      <w:r>
        <w:rPr>
          <w:rFonts w:hint="eastAsia"/>
          <w:sz w:val="24"/>
          <w:szCs w:val="24"/>
        </w:rPr>
        <w:t>，</w:t>
      </w:r>
      <w:r>
        <w:rPr>
          <w:sz w:val="24"/>
          <w:szCs w:val="24"/>
        </w:rPr>
        <w:t>尤其是手续费收入这类风险小</w:t>
      </w:r>
      <w:r>
        <w:rPr>
          <w:rFonts w:hint="eastAsia"/>
          <w:sz w:val="24"/>
          <w:szCs w:val="24"/>
        </w:rPr>
        <w:t>、</w:t>
      </w:r>
      <w:r>
        <w:rPr>
          <w:sz w:val="24"/>
          <w:szCs w:val="24"/>
        </w:rPr>
        <w:t>较为稳定的收入</w:t>
      </w:r>
      <w:r>
        <w:rPr>
          <w:rFonts w:hint="eastAsia"/>
          <w:sz w:val="24"/>
          <w:szCs w:val="24"/>
        </w:rPr>
        <w:t>。同时，农商行对于非利息收入业务可以针对客户的不同需求实行差别定价与服务，为客户提供更加人性化和多元化服务，降低同质化，减少互联网金融对其业务的分流影响。农商行也应注重对各类人才的培养，积极主动并有效地运用股东权益等可用资金来发展各项业务，提高银行效率。</w:t>
      </w:r>
    </w:p>
    <w:p>
      <w:pPr>
        <w:rPr>
          <w:b/>
          <w:sz w:val="24"/>
          <w:szCs w:val="24"/>
        </w:rPr>
      </w:pPr>
      <w:r>
        <w:rPr>
          <w:rFonts w:hint="eastAsia"/>
          <w:b/>
          <w:sz w:val="24"/>
          <w:szCs w:val="24"/>
        </w:rPr>
        <w:t>参考文献</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30">
    <w:p/>
  </w:endnote>
  <w:endnote w:type="continuationSeparator" w:id="31">
    <w:p>
      <w:r>
        <w:continuationSeparator/>
      </w:r>
    </w:p>
  </w:endnote>
  <w:endnote w:id="0">
    <w:p>
      <w:r>
        <w:rPr>
          <w:rStyle w:val="13"/>
        </w:rPr>
        <w:sym w:font="Symbol" w:char="F05B"/>
      </w:r>
      <w:r>
        <w:rPr>
          <w:rStyle w:val="13"/>
        </w:rPr>
        <w:sym w:font="Symbol" w:char="F031"/>
      </w:r>
      <w:r>
        <w:rPr>
          <w:rStyle w:val="13"/>
        </w:rPr>
        <w:sym w:font="Symbol" w:char="F05D"/>
      </w:r>
      <w:r>
        <w:t xml:space="preserve"> Sarah Sanya &amp; Simon Wolfe</w:t>
      </w:r>
      <w:r>
        <w:rPr>
          <w:rFonts w:hint="eastAsia"/>
        </w:rPr>
        <w:t xml:space="preserve">. </w:t>
      </w:r>
      <w:r>
        <w:t>Can Banks in Emerging Economies Benefit</w:t>
      </w:r>
      <w:r>
        <w:rPr>
          <w:rFonts w:hint="eastAsia"/>
        </w:rPr>
        <w:t xml:space="preserve"> </w:t>
      </w:r>
      <w:r>
        <w:t>from Revenue Diversification?</w:t>
      </w:r>
      <w:r>
        <w:rPr>
          <w:rFonts w:hint="eastAsia"/>
        </w:rPr>
        <w:t xml:space="preserve">[J]. </w:t>
      </w:r>
      <w:r>
        <w:t>Journal of Financial Services Research</w:t>
      </w:r>
      <w:r>
        <w:rPr>
          <w:rFonts w:hint="eastAsia"/>
        </w:rPr>
        <w:t xml:space="preserve"> , 2011, 40(1-2):79-101.</w:t>
      </w:r>
    </w:p>
  </w:endnote>
  <w:endnote w:id="1">
    <w:p>
      <w:r>
        <w:rPr>
          <w:rStyle w:val="13"/>
        </w:rPr>
        <w:t>[2]</w:t>
      </w:r>
      <w:r>
        <w:t xml:space="preserve"> C</w:t>
      </w:r>
      <w:r>
        <w:rPr>
          <w:rFonts w:hint="eastAsia"/>
        </w:rPr>
        <w:t>é</w:t>
      </w:r>
      <w:r>
        <w:t>line Meslier</w:t>
      </w:r>
      <w:r>
        <w:rPr>
          <w:rFonts w:hint="eastAsia"/>
        </w:rPr>
        <w:t xml:space="preserve"> </w:t>
      </w:r>
      <w:r>
        <w:t>, Ruth Tacneng</w:t>
      </w:r>
      <w:r>
        <w:rPr>
          <w:rFonts w:hint="eastAsia"/>
        </w:rPr>
        <w:t xml:space="preserve"> </w:t>
      </w:r>
      <w:r>
        <w:t>, Amine Tarazi</w:t>
      </w:r>
      <w:r>
        <w:rPr>
          <w:rFonts w:hint="eastAsia"/>
        </w:rPr>
        <w:t xml:space="preserve">. </w:t>
      </w:r>
      <w:r>
        <w:t>Is bank income diversification beneficial? Evidence from an emerging economy</w:t>
      </w:r>
      <w:r>
        <w:rPr>
          <w:rFonts w:hint="eastAsia"/>
        </w:rPr>
        <w:t xml:space="preserve">[J]. </w:t>
      </w:r>
      <w:r>
        <w:t>Journal of International Financial Markets, Institutions &amp; Money</w:t>
      </w:r>
      <w:r>
        <w:rPr>
          <w:rFonts w:hint="eastAsia"/>
        </w:rPr>
        <w:t xml:space="preserve"> , 2014, 97-126.</w:t>
      </w:r>
    </w:p>
  </w:endnote>
  <w:endnote w:id="2">
    <w:p>
      <w:r>
        <w:rPr>
          <w:rStyle w:val="13"/>
        </w:rPr>
        <w:t>[3]</w:t>
      </w:r>
      <w:r>
        <w:t xml:space="preserve"> </w:t>
      </w:r>
      <w:r>
        <w:rPr>
          <w:rFonts w:hint="eastAsia"/>
        </w:rPr>
        <w:t>李琼,单承芸. 非利息收入对我国上市银行经营绩效的影响研究[J]. 武汉金融 ,2019 ,39(9): 82-88.</w:t>
      </w:r>
    </w:p>
  </w:endnote>
  <w:endnote w:id="3">
    <w:p>
      <w:r>
        <w:rPr>
          <w:rStyle w:val="13"/>
        </w:rPr>
        <w:t>[4]</w:t>
      </w:r>
      <w:r>
        <w:t xml:space="preserve"> </w:t>
      </w:r>
      <w:r>
        <w:rPr>
          <w:rFonts w:hint="eastAsia"/>
        </w:rPr>
        <w:t>任立媛,赵莉.</w:t>
      </w:r>
      <w:r>
        <w:rPr>
          <w:rFonts w:hint="eastAsia"/>
          <w:b/>
        </w:rPr>
        <w:t xml:space="preserve"> </w:t>
      </w:r>
      <w:r>
        <w:rPr>
          <w:rFonts w:hint="eastAsia"/>
        </w:rPr>
        <w:t xml:space="preserve">非利息收入占比、利率市场化与商业银行绩效[J]. 财会通讯 ,2018,39(21):106-111. </w:t>
      </w:r>
    </w:p>
  </w:endnote>
  <w:endnote w:id="4">
    <w:p>
      <w:pPr>
        <w:pStyle w:val="5"/>
      </w:pPr>
      <w:r>
        <w:rPr>
          <w:rStyle w:val="13"/>
        </w:rPr>
        <w:t>[5]</w:t>
      </w:r>
      <w:r>
        <w:t xml:space="preserve"> </w:t>
      </w:r>
      <w:r>
        <w:rPr>
          <w:rFonts w:hint="eastAsia"/>
        </w:rPr>
        <w:t xml:space="preserve">张欢. 上市商业银行非利息收入业务多角度解析[J]. 财会通讯 ,2016,37(02): 39-42. </w:t>
      </w:r>
    </w:p>
  </w:endnote>
  <w:endnote w:id="5">
    <w:p>
      <w:pPr>
        <w:pStyle w:val="5"/>
        <w:rPr>
          <w:rFonts w:hint="eastAsia"/>
        </w:rPr>
      </w:pPr>
      <w:r>
        <w:rPr>
          <w:rStyle w:val="13"/>
        </w:rPr>
        <w:t>[6]</w:t>
      </w:r>
      <w:r>
        <w:t xml:space="preserve"> Laetitia Lepetit, Emmanuelle Nys, Philippe Rous, Amine Tarazi</w:t>
      </w:r>
      <w:r>
        <w:rPr>
          <w:rFonts w:hint="eastAsia"/>
        </w:rPr>
        <w:t xml:space="preserve">. </w:t>
      </w:r>
      <w:r>
        <w:t>The expansion of services in European banking: Implications</w:t>
      </w:r>
      <w:r>
        <w:rPr>
          <w:rFonts w:hint="eastAsia"/>
        </w:rPr>
        <w:t xml:space="preserve"> </w:t>
      </w:r>
      <w:r>
        <w:t>for loan pricing and interest margins</w:t>
      </w:r>
      <w:r>
        <w:rPr>
          <w:rFonts w:hint="eastAsia"/>
        </w:rPr>
        <w:t xml:space="preserve">[J]. </w:t>
      </w:r>
      <w:r>
        <w:t>Journal of Banking and Finance</w:t>
      </w:r>
      <w:r>
        <w:rPr>
          <w:rFonts w:hint="eastAsia"/>
        </w:rPr>
        <w:t xml:space="preserve"> ,2007, 2325-2335.</w:t>
      </w:r>
    </w:p>
  </w:endnote>
  <w:endnote w:id="6">
    <w:p>
      <w:pPr>
        <w:rPr>
          <w:rFonts w:hint="eastAsia"/>
        </w:rPr>
      </w:pPr>
      <w:r>
        <w:rPr>
          <w:rStyle w:val="13"/>
        </w:rPr>
        <w:t>[7]</w:t>
      </w:r>
      <w:r>
        <w:t xml:space="preserve"> Christian</w:t>
      </w:r>
      <w:r>
        <w:rPr>
          <w:rFonts w:hint="eastAsia"/>
        </w:rPr>
        <w:t xml:space="preserve"> </w:t>
      </w:r>
      <w:r>
        <w:t xml:space="preserve"> Calmes , Ying Liu</w:t>
      </w:r>
      <w:r>
        <w:rPr>
          <w:rFonts w:hint="eastAsia"/>
        </w:rPr>
        <w:t xml:space="preserve">. </w:t>
      </w:r>
      <w:r>
        <w:t>Financial structure change and banking income:</w:t>
      </w:r>
      <w:r>
        <w:rPr>
          <w:rFonts w:hint="eastAsia"/>
        </w:rPr>
        <w:t xml:space="preserve"> </w:t>
      </w:r>
      <w:r>
        <w:t>A Canada–U.S. comparison</w:t>
      </w:r>
      <w:r>
        <w:rPr>
          <w:rFonts w:hint="eastAsia"/>
        </w:rPr>
        <w:t xml:space="preserve">[J]. </w:t>
      </w:r>
      <w:r>
        <w:t>Journal of International Financial Markets, Institutions &amp; Money ,</w:t>
      </w:r>
      <w:r>
        <w:rPr>
          <w:rFonts w:hint="eastAsia"/>
        </w:rPr>
        <w:t xml:space="preserve"> 2007, 128-139.</w:t>
      </w:r>
    </w:p>
  </w:endnote>
  <w:endnote w:id="7">
    <w:p>
      <w:pPr>
        <w:pStyle w:val="5"/>
        <w:rPr>
          <w:rFonts w:hint="eastAsia"/>
        </w:rPr>
      </w:pPr>
      <w:r>
        <w:rPr>
          <w:rStyle w:val="13"/>
        </w:rPr>
        <w:t>[8]</w:t>
      </w:r>
      <w:r>
        <w:t xml:space="preserve"> </w:t>
      </w:r>
      <w:r>
        <w:rPr>
          <w:rFonts w:hint="eastAsia"/>
        </w:rPr>
        <w:t>胡东婉,朱安琪</w:t>
      </w:r>
      <w:r>
        <w:rPr>
          <w:rFonts w:hint="eastAsia"/>
          <w:b/>
        </w:rPr>
        <w:t>.</w:t>
      </w:r>
      <w:r>
        <w:rPr>
          <w:rFonts w:hint="eastAsia"/>
        </w:rPr>
        <w:t xml:space="preserve"> 商业银行非利息收入结构化差异与经营绩效关系研究——基于</w:t>
      </w:r>
      <w:r>
        <w:t>35</w:t>
      </w:r>
      <w:r>
        <w:rPr>
          <w:rFonts w:hint="eastAsia"/>
        </w:rPr>
        <w:t xml:space="preserve">家上市银行实证数据[J]. 经济学家 ,2018,30(06): 82-87. </w:t>
      </w:r>
    </w:p>
  </w:endnote>
  <w:endnote w:id="8">
    <w:p>
      <w:pPr>
        <w:pStyle w:val="5"/>
        <w:rPr>
          <w:rFonts w:hint="eastAsia"/>
        </w:rPr>
      </w:pPr>
      <w:r>
        <w:rPr>
          <w:rStyle w:val="13"/>
        </w:rPr>
        <w:t>[9]</w:t>
      </w:r>
      <w:r>
        <w:t xml:space="preserve"> </w:t>
      </w:r>
      <w:r>
        <w:rPr>
          <w:rFonts w:hint="eastAsia"/>
        </w:rPr>
        <w:t xml:space="preserve">田雅群 , 何广文 , 范亚辰. 收入多元化、市场势力与农村商业银行经营绩效[J]. 中南大学学报（社会科学版）,2017,19(06): 101-108. </w:t>
      </w:r>
    </w:p>
  </w:endnote>
  <w:endnote w:id="9">
    <w:p>
      <w:pPr>
        <w:pStyle w:val="5"/>
        <w:rPr>
          <w:rFonts w:hint="eastAsia"/>
        </w:rPr>
      </w:pPr>
      <w:r>
        <w:rPr>
          <w:rStyle w:val="13"/>
        </w:rPr>
        <w:t>[10]</w:t>
      </w:r>
      <w:r>
        <w:t xml:space="preserve"> </w:t>
      </w:r>
      <w:r>
        <w:rPr>
          <w:rFonts w:hint="eastAsia"/>
        </w:rPr>
        <w:t>陈雨潇,周昭维. 我国商业银行中间业务对绩效的影响研究——基于</w:t>
      </w:r>
      <w:r>
        <w:t xml:space="preserve">2010~2015 </w:t>
      </w:r>
      <w:r>
        <w:rPr>
          <w:rFonts w:hint="eastAsia"/>
        </w:rPr>
        <w:t>年</w:t>
      </w:r>
      <w:r>
        <w:t xml:space="preserve">40 </w:t>
      </w:r>
      <w:r>
        <w:rPr>
          <w:rFonts w:hint="eastAsia"/>
        </w:rPr>
        <w:t xml:space="preserve">家商业银行分析[J]. 农村金融研究 ,2017,38(01): 39-44. </w:t>
      </w:r>
    </w:p>
  </w:endnote>
  <w:endnote w:id="10">
    <w:p>
      <w:pPr>
        <w:pStyle w:val="5"/>
        <w:rPr>
          <w:rFonts w:hint="eastAsia"/>
        </w:rPr>
      </w:pPr>
      <w:r>
        <w:rPr>
          <w:rStyle w:val="13"/>
        </w:rPr>
        <w:t>[11]</w:t>
      </w:r>
      <w:r>
        <w:t xml:space="preserve"> </w:t>
      </w:r>
      <w:r>
        <w:rPr>
          <w:rFonts w:hint="eastAsia"/>
        </w:rPr>
        <w:t>窦俊贤. 经济新常态下的非利息收入与商业银行绩效研究———基于我国</w:t>
      </w:r>
      <w:r>
        <w:t>16</w:t>
      </w:r>
      <w:r>
        <w:rPr>
          <w:rFonts w:hint="eastAsia"/>
        </w:rPr>
        <w:t>家上市商业银行</w:t>
      </w:r>
      <w:r>
        <w:t xml:space="preserve">2008~2013 </w:t>
      </w:r>
      <w:r>
        <w:rPr>
          <w:rFonts w:hint="eastAsia"/>
        </w:rPr>
        <w:t xml:space="preserve">年的数据分析[J]. 金融与经济 ,2015,36(09): 58-61. </w:t>
      </w:r>
    </w:p>
  </w:endnote>
  <w:endnote w:id="11">
    <w:p>
      <w:pPr>
        <w:pStyle w:val="5"/>
        <w:rPr>
          <w:rFonts w:hint="eastAsia"/>
        </w:rPr>
      </w:pPr>
      <w:r>
        <w:rPr>
          <w:rStyle w:val="13"/>
        </w:rPr>
        <w:t>[12]</w:t>
      </w:r>
      <w:r>
        <w:t xml:space="preserve"> </w:t>
      </w:r>
      <w:r>
        <w:rPr>
          <w:rFonts w:hint="eastAsia"/>
        </w:rPr>
        <w:t>王正耀,杨景陆. 非利息收入对我国上市商业银行效率的影响研究——基于超效率</w:t>
      </w:r>
      <w:r>
        <w:t xml:space="preserve">SBM </w:t>
      </w:r>
      <w:r>
        <w:rPr>
          <w:rFonts w:hint="eastAsia"/>
        </w:rPr>
        <w:t xml:space="preserve">模型和面板门槛模型[J]. 金融发展研究 , 2018 , 37(02): 61-67. </w:t>
      </w:r>
    </w:p>
  </w:endnote>
  <w:endnote w:id="12">
    <w:p>
      <w:pPr>
        <w:pStyle w:val="5"/>
        <w:rPr>
          <w:rFonts w:hint="eastAsia"/>
        </w:rPr>
      </w:pPr>
      <w:r>
        <w:rPr>
          <w:rStyle w:val="13"/>
        </w:rPr>
        <w:t>[13]</w:t>
      </w:r>
      <w:r>
        <w:t xml:space="preserve"> </w:t>
      </w:r>
      <w:r>
        <w:rPr>
          <w:rFonts w:hint="eastAsia"/>
        </w:rPr>
        <w:t xml:space="preserve">冯波,王笳旭 , 石玉乾 , 霍黎敏. 非利息收入对商业银行绩效影响的实证研究——基于我国上市商业银行的面板数据分析[J]. 金融理论与实践 ,2016 , 38(04): 110-115. </w:t>
      </w:r>
    </w:p>
  </w:endnote>
  <w:endnote w:id="13">
    <w:p>
      <w:pPr>
        <w:pStyle w:val="5"/>
        <w:rPr>
          <w:rFonts w:hint="eastAsia"/>
        </w:rPr>
      </w:pPr>
      <w:r>
        <w:rPr>
          <w:rStyle w:val="13"/>
        </w:rPr>
        <w:t>[14]</w:t>
      </w:r>
      <w:r>
        <w:t xml:space="preserve"> </w:t>
      </w:r>
      <w:r>
        <w:rPr>
          <w:rFonts w:hint="eastAsia"/>
        </w:rPr>
        <w:t>王曼怡,甄晗蕾. 非利息收入对城市商业银行绩效影响的实证研究——基于</w:t>
      </w:r>
      <w:r>
        <w:t>2008-2015</w:t>
      </w:r>
      <w:r>
        <w:rPr>
          <w:rFonts w:hint="eastAsia"/>
        </w:rPr>
        <w:t xml:space="preserve">年面板数据模型分析[J]. 国际经济合作 ,2016 ,32(11): 92-95. </w:t>
      </w:r>
    </w:p>
  </w:endnote>
  <w:endnote w:id="14">
    <w:p>
      <w:pPr>
        <w:pStyle w:val="5"/>
        <w:rPr>
          <w:rFonts w:hint="eastAsia"/>
        </w:rPr>
      </w:pPr>
      <w:r>
        <w:rPr>
          <w:rStyle w:val="13"/>
        </w:rPr>
        <w:t>[15]</w:t>
      </w:r>
      <w:r>
        <w:t xml:space="preserve"> </w:t>
      </w:r>
      <w:r>
        <w:rPr>
          <w:rFonts w:hint="eastAsia"/>
        </w:rPr>
        <w:t>陈</w:t>
      </w:r>
      <w:r>
        <w:rPr>
          <w:rFonts w:hint="eastAsia"/>
          <w:b/>
        </w:rPr>
        <w:t>一</w:t>
      </w:r>
      <w:r>
        <w:rPr>
          <w:rFonts w:hint="eastAsia"/>
        </w:rPr>
        <w:t>洪. 非利息收入与城市商业银行经营绩效[J]. 金融论坛 ,2015,20(01): 28-34.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r>
        <w:continuationSeparator/>
      </w:r>
    </w:p>
  </w:footnote>
  <w:footnote w:id="0">
    <w:p>
      <w:pPr>
        <w:pStyle w:val="9"/>
      </w:pPr>
      <w:r>
        <w:rPr>
          <w:rStyle w:val="16"/>
        </w:rPr>
        <w:t>1</w:t>
      </w:r>
      <w:r>
        <w:t xml:space="preserve"> </w:t>
      </w:r>
      <w:r>
        <w:rPr>
          <w:rFonts w:hint="eastAsia"/>
        </w:rPr>
        <w:t>杭州电子科技大学，杭州市，浙江省，310018,中国，2873730413@qq.com</w:t>
      </w:r>
    </w:p>
  </w:footnote>
  <w:footnote w:id="1">
    <w:p>
      <w:pPr>
        <w:pStyle w:val="9"/>
      </w:pPr>
      <w:r>
        <w:rPr>
          <w:rStyle w:val="16"/>
        </w:rPr>
        <w:t>2</w:t>
      </w:r>
      <w:r>
        <w:t xml:space="preserve"> </w:t>
      </w:r>
      <w:r>
        <w:rPr>
          <w:rFonts w:hint="eastAsia"/>
        </w:rPr>
        <w:t>杭州电子科技大学，杭州市，浙江省，310018，中国，</w:t>
      </w:r>
      <w:r>
        <w:t>jslsj100@yeah.net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2FCC"/>
    <w:multiLevelType w:val="multilevel"/>
    <w:tmpl w:val="01B22FC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30"/>
    <w:endnote w:id="3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70"/>
    <w:rsid w:val="000162C1"/>
    <w:rsid w:val="00021894"/>
    <w:rsid w:val="00025AC2"/>
    <w:rsid w:val="00054203"/>
    <w:rsid w:val="000602DA"/>
    <w:rsid w:val="00063F24"/>
    <w:rsid w:val="00064882"/>
    <w:rsid w:val="00082AA7"/>
    <w:rsid w:val="00097C96"/>
    <w:rsid w:val="000A3858"/>
    <w:rsid w:val="000B6344"/>
    <w:rsid w:val="000F3E38"/>
    <w:rsid w:val="00110BC0"/>
    <w:rsid w:val="00126C66"/>
    <w:rsid w:val="00130454"/>
    <w:rsid w:val="001326A3"/>
    <w:rsid w:val="001503E0"/>
    <w:rsid w:val="0015124A"/>
    <w:rsid w:val="001642D0"/>
    <w:rsid w:val="00167A88"/>
    <w:rsid w:val="0017088C"/>
    <w:rsid w:val="00170B11"/>
    <w:rsid w:val="00171AC9"/>
    <w:rsid w:val="00180037"/>
    <w:rsid w:val="001E0C20"/>
    <w:rsid w:val="001E26C0"/>
    <w:rsid w:val="001E3023"/>
    <w:rsid w:val="001E7ED0"/>
    <w:rsid w:val="002038CF"/>
    <w:rsid w:val="00220107"/>
    <w:rsid w:val="00262DE5"/>
    <w:rsid w:val="00273BCA"/>
    <w:rsid w:val="002757EB"/>
    <w:rsid w:val="00275E88"/>
    <w:rsid w:val="00284614"/>
    <w:rsid w:val="00285AE8"/>
    <w:rsid w:val="00290A3D"/>
    <w:rsid w:val="00291CD7"/>
    <w:rsid w:val="002A1552"/>
    <w:rsid w:val="002B32E7"/>
    <w:rsid w:val="002D7534"/>
    <w:rsid w:val="002E451C"/>
    <w:rsid w:val="002E4D2A"/>
    <w:rsid w:val="002E6863"/>
    <w:rsid w:val="002F02D3"/>
    <w:rsid w:val="00305A73"/>
    <w:rsid w:val="003150CE"/>
    <w:rsid w:val="003208C6"/>
    <w:rsid w:val="003265E6"/>
    <w:rsid w:val="0033404C"/>
    <w:rsid w:val="003458F2"/>
    <w:rsid w:val="00347C18"/>
    <w:rsid w:val="00350D1B"/>
    <w:rsid w:val="00353216"/>
    <w:rsid w:val="00367D3D"/>
    <w:rsid w:val="0037073A"/>
    <w:rsid w:val="003714C4"/>
    <w:rsid w:val="00397DBA"/>
    <w:rsid w:val="003A1577"/>
    <w:rsid w:val="003C02CE"/>
    <w:rsid w:val="003C6436"/>
    <w:rsid w:val="004026EF"/>
    <w:rsid w:val="004027A8"/>
    <w:rsid w:val="0041191A"/>
    <w:rsid w:val="00424FA5"/>
    <w:rsid w:val="0044482F"/>
    <w:rsid w:val="00444CCD"/>
    <w:rsid w:val="00447287"/>
    <w:rsid w:val="0046243D"/>
    <w:rsid w:val="004709CB"/>
    <w:rsid w:val="00480BF6"/>
    <w:rsid w:val="00485B36"/>
    <w:rsid w:val="004A18C3"/>
    <w:rsid w:val="004A2683"/>
    <w:rsid w:val="004B3F4F"/>
    <w:rsid w:val="004B4497"/>
    <w:rsid w:val="004B7639"/>
    <w:rsid w:val="004C1A72"/>
    <w:rsid w:val="004D000D"/>
    <w:rsid w:val="004D7682"/>
    <w:rsid w:val="004E5019"/>
    <w:rsid w:val="00530591"/>
    <w:rsid w:val="00545F79"/>
    <w:rsid w:val="00547960"/>
    <w:rsid w:val="005A739C"/>
    <w:rsid w:val="005A7FC9"/>
    <w:rsid w:val="005F3D2B"/>
    <w:rsid w:val="005F4DC6"/>
    <w:rsid w:val="00600CF5"/>
    <w:rsid w:val="006043F2"/>
    <w:rsid w:val="00616436"/>
    <w:rsid w:val="00620575"/>
    <w:rsid w:val="0063099D"/>
    <w:rsid w:val="00641BF8"/>
    <w:rsid w:val="00644D55"/>
    <w:rsid w:val="006451D4"/>
    <w:rsid w:val="0064660B"/>
    <w:rsid w:val="00657DB8"/>
    <w:rsid w:val="006620F6"/>
    <w:rsid w:val="006A3799"/>
    <w:rsid w:val="006B1A70"/>
    <w:rsid w:val="006B3313"/>
    <w:rsid w:val="006E110F"/>
    <w:rsid w:val="006F4132"/>
    <w:rsid w:val="00702DC2"/>
    <w:rsid w:val="00706921"/>
    <w:rsid w:val="00723440"/>
    <w:rsid w:val="00723D98"/>
    <w:rsid w:val="00731190"/>
    <w:rsid w:val="007629FF"/>
    <w:rsid w:val="00771AD4"/>
    <w:rsid w:val="00772F1A"/>
    <w:rsid w:val="007828F0"/>
    <w:rsid w:val="00785BA0"/>
    <w:rsid w:val="0079362D"/>
    <w:rsid w:val="00796732"/>
    <w:rsid w:val="007B399E"/>
    <w:rsid w:val="007C3558"/>
    <w:rsid w:val="007C3D2F"/>
    <w:rsid w:val="007E7353"/>
    <w:rsid w:val="007F6BB8"/>
    <w:rsid w:val="007F7FAA"/>
    <w:rsid w:val="00804BE5"/>
    <w:rsid w:val="00806BF7"/>
    <w:rsid w:val="0081199E"/>
    <w:rsid w:val="00815CCB"/>
    <w:rsid w:val="0081736F"/>
    <w:rsid w:val="00821854"/>
    <w:rsid w:val="00852B48"/>
    <w:rsid w:val="008610D6"/>
    <w:rsid w:val="00876A4B"/>
    <w:rsid w:val="00881521"/>
    <w:rsid w:val="00886DD7"/>
    <w:rsid w:val="008C26D8"/>
    <w:rsid w:val="008D0A54"/>
    <w:rsid w:val="008D4259"/>
    <w:rsid w:val="008D763A"/>
    <w:rsid w:val="008F312F"/>
    <w:rsid w:val="008F6BEB"/>
    <w:rsid w:val="008F7860"/>
    <w:rsid w:val="00904714"/>
    <w:rsid w:val="009217A7"/>
    <w:rsid w:val="00925B43"/>
    <w:rsid w:val="009308F5"/>
    <w:rsid w:val="00941A7E"/>
    <w:rsid w:val="00942C8B"/>
    <w:rsid w:val="00943E79"/>
    <w:rsid w:val="00951068"/>
    <w:rsid w:val="009521E8"/>
    <w:rsid w:val="00952EFC"/>
    <w:rsid w:val="00954FB1"/>
    <w:rsid w:val="00965EAC"/>
    <w:rsid w:val="00971053"/>
    <w:rsid w:val="009741BE"/>
    <w:rsid w:val="009C224F"/>
    <w:rsid w:val="009D3F0E"/>
    <w:rsid w:val="009D6A34"/>
    <w:rsid w:val="00A01272"/>
    <w:rsid w:val="00A06B37"/>
    <w:rsid w:val="00A1029C"/>
    <w:rsid w:val="00A324C4"/>
    <w:rsid w:val="00A53A90"/>
    <w:rsid w:val="00A55CF3"/>
    <w:rsid w:val="00A5762C"/>
    <w:rsid w:val="00A61557"/>
    <w:rsid w:val="00A70CF0"/>
    <w:rsid w:val="00A729F6"/>
    <w:rsid w:val="00A9121A"/>
    <w:rsid w:val="00A955D9"/>
    <w:rsid w:val="00A969EE"/>
    <w:rsid w:val="00AB3DC0"/>
    <w:rsid w:val="00AB54D0"/>
    <w:rsid w:val="00AB6629"/>
    <w:rsid w:val="00AE4345"/>
    <w:rsid w:val="00AF139E"/>
    <w:rsid w:val="00B038F2"/>
    <w:rsid w:val="00B12EF5"/>
    <w:rsid w:val="00B30AE2"/>
    <w:rsid w:val="00B334A9"/>
    <w:rsid w:val="00B35A88"/>
    <w:rsid w:val="00B42C49"/>
    <w:rsid w:val="00B5217B"/>
    <w:rsid w:val="00B77006"/>
    <w:rsid w:val="00B77177"/>
    <w:rsid w:val="00B82CBB"/>
    <w:rsid w:val="00B85153"/>
    <w:rsid w:val="00B86594"/>
    <w:rsid w:val="00B94282"/>
    <w:rsid w:val="00B9439E"/>
    <w:rsid w:val="00BA700D"/>
    <w:rsid w:val="00BA7856"/>
    <w:rsid w:val="00BD6982"/>
    <w:rsid w:val="00BE6D32"/>
    <w:rsid w:val="00C11BFB"/>
    <w:rsid w:val="00C16208"/>
    <w:rsid w:val="00C179D6"/>
    <w:rsid w:val="00C17F49"/>
    <w:rsid w:val="00C23D48"/>
    <w:rsid w:val="00C30BF0"/>
    <w:rsid w:val="00C3155A"/>
    <w:rsid w:val="00C57BD4"/>
    <w:rsid w:val="00C60EA7"/>
    <w:rsid w:val="00C621B9"/>
    <w:rsid w:val="00C809ED"/>
    <w:rsid w:val="00CA4E9B"/>
    <w:rsid w:val="00CA6C6E"/>
    <w:rsid w:val="00CB3AC1"/>
    <w:rsid w:val="00CB6123"/>
    <w:rsid w:val="00CC0284"/>
    <w:rsid w:val="00CC5722"/>
    <w:rsid w:val="00CE3929"/>
    <w:rsid w:val="00CF7AD6"/>
    <w:rsid w:val="00D115EC"/>
    <w:rsid w:val="00D144D2"/>
    <w:rsid w:val="00D168AC"/>
    <w:rsid w:val="00D20CDB"/>
    <w:rsid w:val="00D314CD"/>
    <w:rsid w:val="00D328E2"/>
    <w:rsid w:val="00D36B47"/>
    <w:rsid w:val="00D41FBA"/>
    <w:rsid w:val="00D43245"/>
    <w:rsid w:val="00D4450F"/>
    <w:rsid w:val="00D474F3"/>
    <w:rsid w:val="00D52BB3"/>
    <w:rsid w:val="00D63FE0"/>
    <w:rsid w:val="00D71E2F"/>
    <w:rsid w:val="00D77B6D"/>
    <w:rsid w:val="00D83381"/>
    <w:rsid w:val="00DC5296"/>
    <w:rsid w:val="00DC5D45"/>
    <w:rsid w:val="00DE0EF1"/>
    <w:rsid w:val="00E06A20"/>
    <w:rsid w:val="00E256EA"/>
    <w:rsid w:val="00E4766B"/>
    <w:rsid w:val="00E50AD6"/>
    <w:rsid w:val="00E6336E"/>
    <w:rsid w:val="00E83A1C"/>
    <w:rsid w:val="00EB12CD"/>
    <w:rsid w:val="00EB3177"/>
    <w:rsid w:val="00EC0C31"/>
    <w:rsid w:val="00EC4F10"/>
    <w:rsid w:val="00ED25D7"/>
    <w:rsid w:val="00EF2E3F"/>
    <w:rsid w:val="00EF6590"/>
    <w:rsid w:val="00F23F80"/>
    <w:rsid w:val="00F45261"/>
    <w:rsid w:val="00F51234"/>
    <w:rsid w:val="00F53D27"/>
    <w:rsid w:val="00F638D9"/>
    <w:rsid w:val="00F74004"/>
    <w:rsid w:val="00FA0A27"/>
    <w:rsid w:val="00FA0F61"/>
    <w:rsid w:val="00FD7E26"/>
    <w:rsid w:val="00FF6643"/>
    <w:rsid w:val="7550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semiHidden/>
    <w:unhideWhenUsed/>
    <w:uiPriority w:val="99"/>
    <w:pPr>
      <w:jc w:val="left"/>
    </w:pPr>
  </w:style>
  <w:style w:type="paragraph" w:styleId="5">
    <w:name w:val="endnote text"/>
    <w:basedOn w:val="1"/>
    <w:link w:val="26"/>
    <w:semiHidden/>
    <w:unhideWhenUsed/>
    <w:uiPriority w:val="99"/>
    <w:pPr>
      <w:snapToGrid w:val="0"/>
      <w:jc w:val="left"/>
    </w:pPr>
  </w:style>
  <w:style w:type="paragraph" w:styleId="6">
    <w:name w:val="Balloon Text"/>
    <w:basedOn w:val="1"/>
    <w:link w:val="25"/>
    <w:semiHidden/>
    <w:unhideWhenUsed/>
    <w:uiPriority w:val="99"/>
    <w:rPr>
      <w:sz w:val="18"/>
      <w:szCs w:val="18"/>
    </w:rPr>
  </w:style>
  <w:style w:type="paragraph" w:styleId="7">
    <w:name w:val="footer"/>
    <w:basedOn w:val="1"/>
    <w:link w:val="21"/>
    <w:semiHidden/>
    <w:unhideWhenUsed/>
    <w:uiPriority w:val="99"/>
    <w:pPr>
      <w:tabs>
        <w:tab w:val="center" w:pos="4153"/>
        <w:tab w:val="right" w:pos="8306"/>
      </w:tabs>
      <w:snapToGrid w:val="0"/>
      <w:jc w:val="left"/>
    </w:pPr>
    <w:rPr>
      <w:sz w:val="18"/>
      <w:szCs w:val="18"/>
    </w:rPr>
  </w:style>
  <w:style w:type="paragraph" w:styleId="8">
    <w:name w:val="header"/>
    <w:basedOn w:val="1"/>
    <w:link w:val="20"/>
    <w:semiHidden/>
    <w:unhideWhenUsed/>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7"/>
    <w:semiHidden/>
    <w:unhideWhenUsed/>
    <w:uiPriority w:val="99"/>
    <w:pPr>
      <w:snapToGrid w:val="0"/>
      <w:jc w:val="left"/>
    </w:pPr>
    <w:rPr>
      <w:sz w:val="18"/>
      <w:szCs w:val="18"/>
    </w:rPr>
  </w:style>
  <w:style w:type="paragraph" w:styleId="10">
    <w:name w:val="annotation subject"/>
    <w:basedOn w:val="4"/>
    <w:next w:val="4"/>
    <w:link w:val="24"/>
    <w:semiHidden/>
    <w:unhideWhenUsed/>
    <w:uiPriority w:val="99"/>
    <w:rPr>
      <w:b/>
      <w:bCs/>
    </w:rPr>
  </w:style>
  <w:style w:type="character" w:styleId="13">
    <w:name w:val="endnote reference"/>
    <w:basedOn w:val="12"/>
    <w:semiHidden/>
    <w:unhideWhenUsed/>
    <w:uiPriority w:val="99"/>
    <w:rPr>
      <w:vertAlign w:val="superscript"/>
    </w:rPr>
  </w:style>
  <w:style w:type="character" w:styleId="14">
    <w:name w:val="Hyperlink"/>
    <w:basedOn w:val="12"/>
    <w:unhideWhenUsed/>
    <w:uiPriority w:val="99"/>
    <w:rPr>
      <w:color w:val="0000FF" w:themeColor="hyperlink"/>
      <w:u w:val="single"/>
    </w:rPr>
  </w:style>
  <w:style w:type="character" w:styleId="15">
    <w:name w:val="annotation reference"/>
    <w:basedOn w:val="12"/>
    <w:semiHidden/>
    <w:unhideWhenUsed/>
    <w:uiPriority w:val="99"/>
    <w:rPr>
      <w:sz w:val="21"/>
      <w:szCs w:val="21"/>
    </w:rPr>
  </w:style>
  <w:style w:type="character" w:styleId="16">
    <w:name w:val="footnote reference"/>
    <w:basedOn w:val="12"/>
    <w:semiHidden/>
    <w:unhideWhenUsed/>
    <w:uiPriority w:val="99"/>
    <w:rPr>
      <w:vertAlign w:val="superscript"/>
    </w:rPr>
  </w:style>
  <w:style w:type="character" w:customStyle="1" w:styleId="17">
    <w:name w:val="标题 1 Char"/>
    <w:basedOn w:val="12"/>
    <w:link w:val="2"/>
    <w:uiPriority w:val="9"/>
    <w:rPr>
      <w:b/>
      <w:bCs/>
      <w:kern w:val="44"/>
      <w:sz w:val="44"/>
      <w:szCs w:val="44"/>
    </w:rPr>
  </w:style>
  <w:style w:type="character" w:customStyle="1" w:styleId="18">
    <w:name w:val="标题 2 Char"/>
    <w:basedOn w:val="12"/>
    <w:link w:val="3"/>
    <w:uiPriority w:val="9"/>
    <w:rPr>
      <w:rFonts w:asciiTheme="majorHAnsi" w:hAnsiTheme="majorHAnsi" w:eastAsiaTheme="majorEastAsia" w:cstheme="majorBidi"/>
      <w:b/>
      <w:bCs/>
      <w:sz w:val="32"/>
      <w:szCs w:val="32"/>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页眉 Char"/>
    <w:basedOn w:val="12"/>
    <w:link w:val="8"/>
    <w:semiHidden/>
    <w:uiPriority w:val="99"/>
    <w:rPr>
      <w:sz w:val="18"/>
      <w:szCs w:val="18"/>
    </w:rPr>
  </w:style>
  <w:style w:type="character" w:customStyle="1" w:styleId="21">
    <w:name w:val="页脚 Char"/>
    <w:basedOn w:val="12"/>
    <w:link w:val="7"/>
    <w:semiHidden/>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文字 Char"/>
    <w:basedOn w:val="12"/>
    <w:link w:val="4"/>
    <w:semiHidden/>
    <w:uiPriority w:val="99"/>
  </w:style>
  <w:style w:type="character" w:customStyle="1" w:styleId="24">
    <w:name w:val="批注主题 Char"/>
    <w:basedOn w:val="23"/>
    <w:link w:val="10"/>
    <w:semiHidden/>
    <w:uiPriority w:val="99"/>
    <w:rPr>
      <w:b/>
      <w:bCs/>
    </w:rPr>
  </w:style>
  <w:style w:type="character" w:customStyle="1" w:styleId="25">
    <w:name w:val="批注框文本 Char"/>
    <w:basedOn w:val="12"/>
    <w:link w:val="6"/>
    <w:semiHidden/>
    <w:uiPriority w:val="99"/>
    <w:rPr>
      <w:sz w:val="18"/>
      <w:szCs w:val="18"/>
    </w:rPr>
  </w:style>
  <w:style w:type="character" w:customStyle="1" w:styleId="26">
    <w:name w:val="尾注文本 Char"/>
    <w:basedOn w:val="12"/>
    <w:link w:val="5"/>
    <w:semiHidden/>
    <w:uiPriority w:val="99"/>
  </w:style>
  <w:style w:type="character" w:customStyle="1" w:styleId="27">
    <w:name w:val="脚注文本 Char"/>
    <w:basedOn w:val="12"/>
    <w:link w:val="9"/>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289DE-2EDD-4E25-8C26-393EB2BB26DA}">
  <ds:schemaRefs/>
</ds:datastoreItem>
</file>

<file path=docProps/app.xml><?xml version="1.0" encoding="utf-8"?>
<Properties xmlns="http://schemas.openxmlformats.org/officeDocument/2006/extended-properties" xmlns:vt="http://schemas.openxmlformats.org/officeDocument/2006/docPropsVTypes">
  <Template>Normal</Template>
  <Pages>8</Pages>
  <Words>1309</Words>
  <Characters>7464</Characters>
  <Lines>62</Lines>
  <Paragraphs>17</Paragraphs>
  <TotalTime>2492</TotalTime>
  <ScaleCrop>false</ScaleCrop>
  <LinksUpToDate>false</LinksUpToDate>
  <CharactersWithSpaces>8756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2020-02-24T08:32:00Z</dcterms:created>
  <dc:creator>qq</dc:creator>
  <cp:lastModifiedBy>小幸运</cp:lastModifiedBy>
  <dcterms:modified xsi:type="dcterms:W3CDTF">2020-03-14T02:28:19Z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