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p>
    <w:p>
      <w:pPr>
        <w:spacing w:line="240" w:lineRule="auto"/>
        <w:ind w:firstLine="0" w:firstLineChars="0"/>
        <w:jc w:val="center"/>
        <w:rPr>
          <w:rFonts w:ascii="宋体" w:hAnsi="宋体"/>
          <w:b/>
          <w:sz w:val="32"/>
          <w:szCs w:val="32"/>
        </w:rPr>
      </w:pPr>
      <w:bookmarkStart w:id="30" w:name="_GoBack"/>
      <w:r>
        <w:rPr>
          <w:rFonts w:hint="eastAsia" w:ascii="宋体" w:hAnsi="宋体"/>
          <w:b/>
          <w:sz w:val="32"/>
          <w:szCs w:val="32"/>
        </w:rPr>
        <w:t>基于消费者层面的银行理财产品销售因素分析</w:t>
      </w:r>
    </w:p>
    <w:bookmarkEnd w:id="30"/>
    <w:p>
      <w:pPr>
        <w:ind w:firstLine="480"/>
        <w:jc w:val="center"/>
        <w:rPr>
          <w:rFonts w:ascii="宋体" w:hAnsi="宋体"/>
        </w:rPr>
      </w:pPr>
      <w:r>
        <w:rPr>
          <w:rFonts w:hint="eastAsia" w:ascii="宋体" w:hAnsi="宋体"/>
        </w:rPr>
        <w:t xml:space="preserve"> 胡章琳</w:t>
      </w:r>
      <w:r>
        <w:rPr>
          <w:rFonts w:hint="eastAsia" w:ascii="宋体" w:hAnsi="宋体"/>
          <w:lang w:val="en-US" w:eastAsia="zh-CN"/>
        </w:rPr>
        <w:t xml:space="preserve">  </w:t>
      </w:r>
      <w:r>
        <w:rPr>
          <w:rFonts w:hint="eastAsia" w:ascii="宋体" w:hAnsi="宋体"/>
        </w:rPr>
        <w:t>苏甘雅</w:t>
      </w:r>
    </w:p>
    <w:p>
      <w:pPr>
        <w:ind w:firstLine="480"/>
        <w:jc w:val="center"/>
        <w:rPr>
          <w:rFonts w:ascii="宋体" w:hAnsi="宋体"/>
        </w:rPr>
      </w:pPr>
      <w:r>
        <w:rPr>
          <w:rFonts w:hint="eastAsia" w:ascii="宋体" w:hAnsi="宋体"/>
        </w:rPr>
        <w:t xml:space="preserve">成都信息工程大学 </w:t>
      </w:r>
    </w:p>
    <w:p>
      <w:pPr>
        <w:ind w:firstLine="480"/>
        <w:jc w:val="center"/>
        <w:rPr>
          <w:rFonts w:ascii="宋体" w:hAnsi="宋体"/>
        </w:rPr>
      </w:pPr>
    </w:p>
    <w:p>
      <w:pPr>
        <w:ind w:firstLine="482"/>
      </w:pPr>
      <w:r>
        <w:rPr>
          <w:rFonts w:hint="eastAsia" w:ascii="宋体" w:hAnsi="宋体"/>
          <w:b/>
        </w:rPr>
        <w:t>摘要</w:t>
      </w:r>
      <w:r>
        <w:rPr>
          <w:rFonts w:hint="eastAsia" w:ascii="宋体" w:hAnsi="宋体"/>
        </w:rPr>
        <w:t xml:space="preserve">  随着金融产品的</w:t>
      </w:r>
      <w:r>
        <w:rPr>
          <w:rFonts w:hint="eastAsia" w:ascii="宋体" w:hAnsi="宋体"/>
          <w:bCs/>
          <w:szCs w:val="32"/>
        </w:rPr>
        <w:t>创新与丰富</w:t>
      </w:r>
      <w:r>
        <w:rPr>
          <w:rFonts w:hint="eastAsia" w:ascii="宋体" w:hAnsi="宋体"/>
        </w:rPr>
        <w:t>,人们愿意接受一定的风险而获得更高的收益。本文调研分析总结认为，影响银行理财产品销售的因素</w:t>
      </w:r>
      <w:r>
        <w:rPr>
          <w:rFonts w:hint="eastAsia"/>
        </w:rPr>
        <w:t>有投资者的年龄、收入、文化水平、以及心理原因等；找准影响因素，银行可以有针对性的进行销售营销。</w:t>
      </w:r>
    </w:p>
    <w:p>
      <w:pPr>
        <w:ind w:firstLine="482"/>
        <w:rPr>
          <w:rFonts w:hint="eastAsia"/>
        </w:rPr>
      </w:pPr>
      <w:r>
        <w:rPr>
          <w:rFonts w:hint="eastAsia"/>
          <w:b/>
        </w:rPr>
        <w:t xml:space="preserve">关键词  </w:t>
      </w:r>
      <w:r>
        <w:rPr>
          <w:rFonts w:hint="eastAsia"/>
        </w:rPr>
        <w:t>理财产品；销售影响因素；建议</w:t>
      </w:r>
    </w:p>
    <w:p>
      <w:pPr>
        <w:pStyle w:val="2"/>
        <w:numPr>
          <w:ilvl w:val="0"/>
          <w:numId w:val="0"/>
        </w:numPr>
        <w:spacing w:before="312"/>
      </w:pPr>
      <w:bookmarkStart w:id="0" w:name="_Toc136592278"/>
      <w:bookmarkEnd w:id="0"/>
      <w:bookmarkStart w:id="1" w:name="_Toc137205488"/>
      <w:bookmarkEnd w:id="1"/>
      <w:bookmarkStart w:id="2" w:name="_Toc136593651"/>
      <w:bookmarkEnd w:id="2"/>
      <w:bookmarkStart w:id="3" w:name="_Toc136593653"/>
      <w:bookmarkEnd w:id="3"/>
      <w:bookmarkStart w:id="4" w:name="_Toc136593406"/>
      <w:bookmarkEnd w:id="4"/>
      <w:bookmarkStart w:id="5" w:name="_Toc136592277"/>
      <w:bookmarkEnd w:id="5"/>
      <w:bookmarkStart w:id="6" w:name="_Toc137205489"/>
      <w:bookmarkEnd w:id="6"/>
      <w:bookmarkStart w:id="7" w:name="_Toc136592276"/>
      <w:bookmarkEnd w:id="7"/>
      <w:bookmarkStart w:id="8" w:name="_Toc136593407"/>
      <w:bookmarkEnd w:id="8"/>
      <w:bookmarkStart w:id="9" w:name="_Toc137205487"/>
      <w:bookmarkEnd w:id="9"/>
      <w:bookmarkStart w:id="10" w:name="_Toc137206719"/>
      <w:bookmarkEnd w:id="10"/>
      <w:bookmarkStart w:id="11" w:name="_Toc136927409"/>
      <w:bookmarkEnd w:id="11"/>
      <w:bookmarkStart w:id="12" w:name="_Toc136927410"/>
      <w:bookmarkEnd w:id="12"/>
      <w:bookmarkStart w:id="13" w:name="_Toc136593652"/>
      <w:bookmarkEnd w:id="13"/>
      <w:bookmarkStart w:id="14" w:name="_Toc137206721"/>
      <w:bookmarkEnd w:id="14"/>
      <w:bookmarkStart w:id="15" w:name="_Toc136927408"/>
      <w:bookmarkEnd w:id="15"/>
      <w:bookmarkStart w:id="16" w:name="_Toc137206720"/>
      <w:bookmarkEnd w:id="16"/>
      <w:bookmarkStart w:id="17" w:name="_Toc136593408"/>
      <w:bookmarkEnd w:id="17"/>
      <w:bookmarkStart w:id="18" w:name="_Toc33622476"/>
      <w:r>
        <w:rPr>
          <w:rFonts w:hint="eastAsia"/>
        </w:rPr>
        <w:t>一、影响银行理财产品销售的因素</w:t>
      </w:r>
      <w:bookmarkEnd w:id="18"/>
    </w:p>
    <w:p>
      <w:pPr>
        <w:pStyle w:val="4"/>
        <w:numPr>
          <w:ilvl w:val="0"/>
          <w:numId w:val="0"/>
        </w:numPr>
        <w:ind w:firstLine="480" w:firstLineChars="200"/>
        <w:rPr>
          <w:rFonts w:ascii="宋体" w:hAnsi="宋体"/>
        </w:rPr>
      </w:pPr>
      <w:bookmarkStart w:id="19" w:name="_Toc33622482"/>
      <w:r>
        <w:rPr>
          <w:rFonts w:hint="eastAsia" w:ascii="宋体" w:hAnsi="宋体"/>
        </w:rPr>
        <w:t>（一）消费者的年龄</w:t>
      </w:r>
      <w:bookmarkEnd w:id="19"/>
    </w:p>
    <w:p>
      <w:pPr>
        <w:ind w:firstLine="480"/>
      </w:pPr>
      <w:r>
        <w:rPr>
          <w:rFonts w:hint="eastAsia"/>
        </w:rPr>
        <w:t>年龄往往是影响一个人做决定的重要因素，在购买理财产品这件事情上也是一样。在实习期间，接触过不少的客户。但在与客户的交谈中能发现，大多数办理理财业务的客户都是为人父母或是已经退休的年纪。年轻人似乎很少注重理财，也很少关注理财利率的波动</w:t>
      </w:r>
      <w:r>
        <w:rPr>
          <w:rFonts w:hint="eastAsia"/>
          <w:vertAlign w:val="superscript"/>
          <w:lang w:val="en-US" w:eastAsia="zh-CN"/>
        </w:rPr>
        <w:t>[1]</w:t>
      </w:r>
      <w:r>
        <w:rPr>
          <w:rFonts w:hint="eastAsia"/>
        </w:rPr>
        <w:t>。</w:t>
      </w:r>
    </w:p>
    <w:p>
      <w:pPr>
        <w:ind w:firstLine="480"/>
      </w:pPr>
      <w:r>
        <w:rPr>
          <w:rFonts w:hint="eastAsia"/>
        </w:rPr>
        <w:t>根据</w:t>
      </w:r>
      <w:bookmarkStart w:id="20" w:name="_Hlk33607872"/>
      <w:r>
        <w:rPr>
          <w:rFonts w:hint="eastAsia"/>
        </w:rPr>
        <w:t>兴业银行与波士顿咨询公司联合开展的高净值客户调研</w:t>
      </w:r>
      <w:bookmarkEnd w:id="20"/>
      <w:r>
        <w:rPr>
          <w:rFonts w:hint="eastAsia"/>
        </w:rPr>
        <w:t>中有关年龄分布的情况如表1。</w:t>
      </w:r>
    </w:p>
    <w:p>
      <w:pPr>
        <w:ind w:firstLine="420"/>
        <w:jc w:val="center"/>
        <w:rPr>
          <w:rFonts w:ascii="宋体" w:hAnsi="宋体"/>
          <w:sz w:val="21"/>
          <w:szCs w:val="21"/>
        </w:rPr>
      </w:pPr>
      <w:r>
        <w:rPr>
          <w:rFonts w:hint="eastAsia" w:ascii="宋体" w:hAnsi="宋体"/>
          <w:sz w:val="21"/>
          <w:szCs w:val="21"/>
        </w:rPr>
        <w:t>表1兴业银行与波士顿咨询公司联合开展的高净值客户调研</w:t>
      </w:r>
    </w:p>
    <w:tbl>
      <w:tblPr>
        <w:tblStyle w:val="57"/>
        <w:tblW w:w="8528"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421"/>
        <w:gridCol w:w="1421"/>
        <w:gridCol w:w="1421"/>
        <w:gridCol w:w="1421"/>
        <w:gridCol w:w="1422"/>
        <w:gridCol w:w="1422"/>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1421" w:type="dxa"/>
            <w:shd w:val="clear" w:color="auto" w:fill="F1F1F1" w:themeFill="background1" w:themeFillShade="F2"/>
          </w:tcPr>
          <w:p>
            <w:pPr>
              <w:ind w:firstLine="0" w:firstLineChars="0"/>
              <w:jc w:val="center"/>
              <w:rPr>
                <w:rFonts w:ascii="宋体" w:hAnsi="宋体"/>
                <w:b/>
                <w:bCs/>
                <w:sz w:val="18"/>
                <w:szCs w:val="18"/>
              </w:rPr>
            </w:pPr>
          </w:p>
        </w:tc>
        <w:tc>
          <w:tcPr>
            <w:tcW w:w="1421" w:type="dxa"/>
            <w:shd w:val="clear" w:color="auto" w:fill="F1F1F1" w:themeFill="background1" w:themeFillShade="F2"/>
          </w:tcPr>
          <w:p>
            <w:pPr>
              <w:ind w:firstLine="0" w:firstLineChars="0"/>
              <w:jc w:val="center"/>
              <w:rPr>
                <w:rFonts w:ascii="宋体" w:hAnsi="宋体"/>
                <w:b w:val="0"/>
                <w:bCs w:val="0"/>
                <w:sz w:val="18"/>
                <w:szCs w:val="18"/>
              </w:rPr>
            </w:pPr>
            <w:r>
              <w:rPr>
                <w:rFonts w:hint="eastAsia" w:ascii="宋体" w:hAnsi="宋体"/>
                <w:b w:val="0"/>
                <w:bCs w:val="0"/>
                <w:sz w:val="18"/>
                <w:szCs w:val="18"/>
              </w:rPr>
              <w:t>21-29岁</w:t>
            </w:r>
          </w:p>
        </w:tc>
        <w:tc>
          <w:tcPr>
            <w:tcW w:w="1421" w:type="dxa"/>
            <w:shd w:val="clear" w:color="auto" w:fill="F1F1F1" w:themeFill="background1" w:themeFillShade="F2"/>
          </w:tcPr>
          <w:p>
            <w:pPr>
              <w:ind w:firstLine="0" w:firstLineChars="0"/>
              <w:jc w:val="center"/>
              <w:rPr>
                <w:rFonts w:ascii="宋体" w:hAnsi="宋体"/>
                <w:b w:val="0"/>
                <w:bCs w:val="0"/>
                <w:sz w:val="18"/>
                <w:szCs w:val="18"/>
              </w:rPr>
            </w:pPr>
            <w:r>
              <w:rPr>
                <w:rFonts w:hint="eastAsia" w:ascii="宋体" w:hAnsi="宋体"/>
                <w:b w:val="0"/>
                <w:bCs w:val="0"/>
                <w:sz w:val="18"/>
                <w:szCs w:val="18"/>
              </w:rPr>
              <w:t>30-39岁</w:t>
            </w:r>
          </w:p>
        </w:tc>
        <w:tc>
          <w:tcPr>
            <w:tcW w:w="1421" w:type="dxa"/>
            <w:shd w:val="clear" w:color="auto" w:fill="F1F1F1" w:themeFill="background1" w:themeFillShade="F2"/>
          </w:tcPr>
          <w:p>
            <w:pPr>
              <w:ind w:firstLine="0" w:firstLineChars="0"/>
              <w:jc w:val="center"/>
              <w:rPr>
                <w:rFonts w:ascii="宋体" w:hAnsi="宋体"/>
                <w:b w:val="0"/>
                <w:bCs w:val="0"/>
                <w:sz w:val="18"/>
                <w:szCs w:val="18"/>
              </w:rPr>
            </w:pPr>
            <w:r>
              <w:rPr>
                <w:rFonts w:hint="eastAsia" w:ascii="宋体" w:hAnsi="宋体"/>
                <w:b w:val="0"/>
                <w:bCs w:val="0"/>
                <w:sz w:val="18"/>
                <w:szCs w:val="18"/>
              </w:rPr>
              <w:t>40-49岁</w:t>
            </w:r>
          </w:p>
        </w:tc>
        <w:tc>
          <w:tcPr>
            <w:tcW w:w="1422" w:type="dxa"/>
            <w:shd w:val="clear" w:color="auto" w:fill="F1F1F1" w:themeFill="background1" w:themeFillShade="F2"/>
          </w:tcPr>
          <w:p>
            <w:pPr>
              <w:ind w:firstLine="0" w:firstLineChars="0"/>
              <w:jc w:val="center"/>
              <w:rPr>
                <w:rFonts w:ascii="宋体" w:hAnsi="宋体"/>
                <w:b w:val="0"/>
                <w:bCs w:val="0"/>
                <w:sz w:val="18"/>
                <w:szCs w:val="18"/>
              </w:rPr>
            </w:pPr>
            <w:r>
              <w:rPr>
                <w:rFonts w:hint="eastAsia" w:ascii="宋体" w:hAnsi="宋体"/>
                <w:b w:val="0"/>
                <w:bCs w:val="0"/>
                <w:sz w:val="18"/>
                <w:szCs w:val="18"/>
              </w:rPr>
              <w:t>50-59岁</w:t>
            </w:r>
          </w:p>
        </w:tc>
        <w:tc>
          <w:tcPr>
            <w:tcW w:w="1422" w:type="dxa"/>
            <w:shd w:val="clear" w:color="auto" w:fill="F1F1F1" w:themeFill="background1" w:themeFillShade="F2"/>
          </w:tcPr>
          <w:p>
            <w:pPr>
              <w:ind w:firstLine="0" w:firstLineChars="0"/>
              <w:jc w:val="center"/>
              <w:rPr>
                <w:rFonts w:ascii="宋体" w:hAnsi="宋体"/>
                <w:b w:val="0"/>
                <w:bCs w:val="0"/>
                <w:sz w:val="18"/>
                <w:szCs w:val="18"/>
              </w:rPr>
            </w:pPr>
            <w:r>
              <w:rPr>
                <w:rFonts w:hint="eastAsia" w:ascii="宋体" w:hAnsi="宋体"/>
                <w:b w:val="0"/>
                <w:bCs w:val="0"/>
                <w:sz w:val="18"/>
                <w:szCs w:val="18"/>
              </w:rPr>
              <w:t>60岁以上</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1421" w:type="dxa"/>
            <w:shd w:val="clear" w:color="auto" w:fill="F1F1F1" w:themeFill="background1" w:themeFillShade="F2"/>
          </w:tcPr>
          <w:p>
            <w:pPr>
              <w:ind w:firstLine="0" w:firstLineChars="0"/>
              <w:jc w:val="center"/>
              <w:rPr>
                <w:rFonts w:ascii="宋体" w:hAnsi="宋体"/>
                <w:b w:val="0"/>
                <w:bCs w:val="0"/>
                <w:sz w:val="18"/>
                <w:szCs w:val="18"/>
              </w:rPr>
            </w:pPr>
            <w:r>
              <w:rPr>
                <w:rFonts w:hint="eastAsia" w:ascii="宋体" w:hAnsi="宋体"/>
                <w:b w:val="0"/>
                <w:bCs w:val="0"/>
                <w:sz w:val="18"/>
                <w:szCs w:val="18"/>
              </w:rPr>
              <w:t>2015年调研</w:t>
            </w:r>
          </w:p>
        </w:tc>
        <w:tc>
          <w:tcPr>
            <w:tcW w:w="1421" w:type="dxa"/>
          </w:tcPr>
          <w:p>
            <w:pPr>
              <w:ind w:firstLine="0" w:firstLineChars="0"/>
              <w:jc w:val="center"/>
              <w:rPr>
                <w:rFonts w:ascii="宋体" w:hAnsi="宋体"/>
                <w:sz w:val="18"/>
                <w:szCs w:val="18"/>
              </w:rPr>
            </w:pPr>
            <w:r>
              <w:rPr>
                <w:rFonts w:hint="eastAsia" w:ascii="宋体" w:hAnsi="宋体"/>
                <w:sz w:val="18"/>
                <w:szCs w:val="18"/>
              </w:rPr>
              <w:t>4%</w:t>
            </w:r>
          </w:p>
        </w:tc>
        <w:tc>
          <w:tcPr>
            <w:tcW w:w="1421" w:type="dxa"/>
            <w:shd w:val="clear" w:color="auto" w:fill="F1F1F1" w:themeFill="background1" w:themeFillShade="F2"/>
          </w:tcPr>
          <w:p>
            <w:pPr>
              <w:ind w:firstLine="0" w:firstLineChars="0"/>
              <w:jc w:val="center"/>
              <w:rPr>
                <w:rFonts w:ascii="宋体" w:hAnsi="宋体"/>
                <w:sz w:val="18"/>
                <w:szCs w:val="18"/>
              </w:rPr>
            </w:pPr>
            <w:r>
              <w:rPr>
                <w:rFonts w:hint="eastAsia" w:ascii="宋体" w:hAnsi="宋体"/>
                <w:sz w:val="18"/>
                <w:szCs w:val="18"/>
              </w:rPr>
              <w:t>23%</w:t>
            </w:r>
          </w:p>
        </w:tc>
        <w:tc>
          <w:tcPr>
            <w:tcW w:w="1421" w:type="dxa"/>
          </w:tcPr>
          <w:p>
            <w:pPr>
              <w:ind w:firstLine="0" w:firstLineChars="0"/>
              <w:jc w:val="center"/>
              <w:rPr>
                <w:rFonts w:ascii="宋体" w:hAnsi="宋体"/>
                <w:sz w:val="18"/>
                <w:szCs w:val="18"/>
              </w:rPr>
            </w:pPr>
            <w:r>
              <w:rPr>
                <w:rFonts w:hint="eastAsia" w:ascii="宋体" w:hAnsi="宋体"/>
                <w:sz w:val="18"/>
                <w:szCs w:val="18"/>
              </w:rPr>
              <w:t>40%</w:t>
            </w:r>
          </w:p>
        </w:tc>
        <w:tc>
          <w:tcPr>
            <w:tcW w:w="1422" w:type="dxa"/>
            <w:shd w:val="clear" w:color="auto" w:fill="F1F1F1" w:themeFill="background1" w:themeFillShade="F2"/>
          </w:tcPr>
          <w:p>
            <w:pPr>
              <w:ind w:firstLine="0" w:firstLineChars="0"/>
              <w:jc w:val="center"/>
              <w:rPr>
                <w:rFonts w:ascii="宋体" w:hAnsi="宋体"/>
                <w:sz w:val="18"/>
                <w:szCs w:val="18"/>
              </w:rPr>
            </w:pPr>
            <w:r>
              <w:rPr>
                <w:rFonts w:hint="eastAsia" w:ascii="宋体" w:hAnsi="宋体"/>
                <w:sz w:val="18"/>
                <w:szCs w:val="18"/>
              </w:rPr>
              <w:t>25%</w:t>
            </w:r>
          </w:p>
        </w:tc>
        <w:tc>
          <w:tcPr>
            <w:tcW w:w="1422" w:type="dxa"/>
          </w:tcPr>
          <w:p>
            <w:pPr>
              <w:ind w:firstLine="0" w:firstLineChars="0"/>
              <w:jc w:val="center"/>
              <w:rPr>
                <w:rFonts w:ascii="宋体" w:hAnsi="宋体"/>
                <w:sz w:val="18"/>
                <w:szCs w:val="18"/>
              </w:rPr>
            </w:pPr>
            <w:r>
              <w:rPr>
                <w:rFonts w:hint="eastAsia" w:ascii="宋体" w:hAnsi="宋体"/>
                <w:sz w:val="18"/>
                <w:szCs w:val="18"/>
              </w:rPr>
              <w:t>9%</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1421" w:type="dxa"/>
            <w:shd w:val="clear" w:color="auto" w:fill="F1F1F1" w:themeFill="background1" w:themeFillShade="F2"/>
          </w:tcPr>
          <w:p>
            <w:pPr>
              <w:ind w:firstLine="0" w:firstLineChars="0"/>
              <w:jc w:val="center"/>
              <w:rPr>
                <w:rFonts w:ascii="宋体" w:hAnsi="宋体"/>
                <w:b w:val="0"/>
                <w:bCs w:val="0"/>
                <w:sz w:val="18"/>
                <w:szCs w:val="18"/>
              </w:rPr>
            </w:pPr>
            <w:r>
              <w:rPr>
                <w:rFonts w:hint="eastAsia" w:ascii="宋体" w:hAnsi="宋体"/>
                <w:b w:val="0"/>
                <w:bCs w:val="0"/>
                <w:sz w:val="18"/>
                <w:szCs w:val="18"/>
              </w:rPr>
              <w:t>2016年调研</w:t>
            </w:r>
          </w:p>
        </w:tc>
        <w:tc>
          <w:tcPr>
            <w:tcW w:w="1421" w:type="dxa"/>
            <w:shd w:val="clear" w:color="auto" w:fill="F1F1F1" w:themeFill="background1" w:themeFillShade="F2"/>
          </w:tcPr>
          <w:p>
            <w:pPr>
              <w:ind w:firstLine="0" w:firstLineChars="0"/>
              <w:jc w:val="center"/>
              <w:rPr>
                <w:rFonts w:ascii="宋体" w:hAnsi="宋体"/>
                <w:sz w:val="18"/>
                <w:szCs w:val="18"/>
              </w:rPr>
            </w:pPr>
            <w:r>
              <w:rPr>
                <w:rFonts w:hint="eastAsia" w:ascii="宋体" w:hAnsi="宋体"/>
                <w:sz w:val="18"/>
                <w:szCs w:val="18"/>
              </w:rPr>
              <w:t>6%</w:t>
            </w:r>
          </w:p>
        </w:tc>
        <w:tc>
          <w:tcPr>
            <w:tcW w:w="1421" w:type="dxa"/>
            <w:shd w:val="clear" w:color="auto" w:fill="F1F1F1" w:themeFill="background1" w:themeFillShade="F2"/>
          </w:tcPr>
          <w:p>
            <w:pPr>
              <w:ind w:firstLine="0" w:firstLineChars="0"/>
              <w:jc w:val="center"/>
              <w:rPr>
                <w:rFonts w:ascii="宋体" w:hAnsi="宋体"/>
                <w:sz w:val="18"/>
                <w:szCs w:val="18"/>
              </w:rPr>
            </w:pPr>
            <w:r>
              <w:rPr>
                <w:rFonts w:hint="eastAsia" w:ascii="宋体" w:hAnsi="宋体"/>
                <w:sz w:val="18"/>
                <w:szCs w:val="18"/>
              </w:rPr>
              <w:t>18%</w:t>
            </w:r>
          </w:p>
        </w:tc>
        <w:tc>
          <w:tcPr>
            <w:tcW w:w="1421" w:type="dxa"/>
            <w:shd w:val="clear" w:color="auto" w:fill="F1F1F1" w:themeFill="background1" w:themeFillShade="F2"/>
          </w:tcPr>
          <w:p>
            <w:pPr>
              <w:ind w:firstLine="0" w:firstLineChars="0"/>
              <w:jc w:val="center"/>
              <w:rPr>
                <w:rFonts w:ascii="宋体" w:hAnsi="宋体"/>
                <w:sz w:val="18"/>
                <w:szCs w:val="18"/>
              </w:rPr>
            </w:pPr>
            <w:r>
              <w:rPr>
                <w:rFonts w:hint="eastAsia" w:ascii="宋体" w:hAnsi="宋体"/>
                <w:sz w:val="18"/>
                <w:szCs w:val="18"/>
              </w:rPr>
              <w:t>37%</w:t>
            </w:r>
          </w:p>
        </w:tc>
        <w:tc>
          <w:tcPr>
            <w:tcW w:w="1422" w:type="dxa"/>
            <w:shd w:val="clear" w:color="auto" w:fill="F1F1F1" w:themeFill="background1" w:themeFillShade="F2"/>
          </w:tcPr>
          <w:p>
            <w:pPr>
              <w:ind w:firstLine="0" w:firstLineChars="0"/>
              <w:jc w:val="center"/>
              <w:rPr>
                <w:rFonts w:ascii="宋体" w:hAnsi="宋体"/>
                <w:sz w:val="18"/>
                <w:szCs w:val="18"/>
              </w:rPr>
            </w:pPr>
            <w:r>
              <w:rPr>
                <w:rFonts w:hint="eastAsia" w:ascii="宋体" w:hAnsi="宋体"/>
                <w:sz w:val="18"/>
                <w:szCs w:val="18"/>
              </w:rPr>
              <w:t>28%</w:t>
            </w:r>
          </w:p>
        </w:tc>
        <w:tc>
          <w:tcPr>
            <w:tcW w:w="1422" w:type="dxa"/>
            <w:shd w:val="clear" w:color="auto" w:fill="F1F1F1" w:themeFill="background1" w:themeFillShade="F2"/>
          </w:tcPr>
          <w:p>
            <w:pPr>
              <w:ind w:firstLine="0" w:firstLineChars="0"/>
              <w:jc w:val="center"/>
              <w:rPr>
                <w:rFonts w:ascii="宋体" w:hAnsi="宋体"/>
                <w:sz w:val="18"/>
                <w:szCs w:val="18"/>
              </w:rPr>
            </w:pPr>
            <w:r>
              <w:rPr>
                <w:rFonts w:hint="eastAsia" w:ascii="宋体" w:hAnsi="宋体"/>
                <w:sz w:val="18"/>
                <w:szCs w:val="18"/>
              </w:rPr>
              <w:t>11%</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1421" w:type="dxa"/>
            <w:shd w:val="clear" w:color="auto" w:fill="F1F1F1" w:themeFill="background1" w:themeFillShade="F2"/>
          </w:tcPr>
          <w:p>
            <w:pPr>
              <w:ind w:firstLine="0" w:firstLineChars="0"/>
              <w:jc w:val="center"/>
              <w:rPr>
                <w:rFonts w:ascii="宋体" w:hAnsi="宋体"/>
                <w:b w:val="0"/>
                <w:bCs w:val="0"/>
                <w:sz w:val="18"/>
                <w:szCs w:val="18"/>
              </w:rPr>
            </w:pPr>
            <w:r>
              <w:rPr>
                <w:rFonts w:hint="eastAsia" w:ascii="宋体" w:hAnsi="宋体"/>
                <w:b w:val="0"/>
                <w:bCs w:val="0"/>
                <w:sz w:val="18"/>
                <w:szCs w:val="18"/>
              </w:rPr>
              <w:t>2017年调研</w:t>
            </w:r>
          </w:p>
        </w:tc>
        <w:tc>
          <w:tcPr>
            <w:tcW w:w="1421" w:type="dxa"/>
          </w:tcPr>
          <w:p>
            <w:pPr>
              <w:ind w:firstLine="0" w:firstLineChars="0"/>
              <w:jc w:val="center"/>
              <w:rPr>
                <w:rFonts w:ascii="宋体" w:hAnsi="宋体"/>
                <w:sz w:val="18"/>
                <w:szCs w:val="18"/>
              </w:rPr>
            </w:pPr>
            <w:r>
              <w:rPr>
                <w:rFonts w:hint="eastAsia" w:ascii="宋体" w:hAnsi="宋体"/>
                <w:sz w:val="18"/>
                <w:szCs w:val="18"/>
              </w:rPr>
              <w:t>11%</w:t>
            </w:r>
          </w:p>
        </w:tc>
        <w:tc>
          <w:tcPr>
            <w:tcW w:w="1421" w:type="dxa"/>
            <w:shd w:val="clear" w:color="auto" w:fill="F1F1F1" w:themeFill="background1" w:themeFillShade="F2"/>
          </w:tcPr>
          <w:p>
            <w:pPr>
              <w:ind w:firstLine="0" w:firstLineChars="0"/>
              <w:jc w:val="center"/>
              <w:rPr>
                <w:rFonts w:ascii="宋体" w:hAnsi="宋体"/>
                <w:sz w:val="18"/>
                <w:szCs w:val="18"/>
              </w:rPr>
            </w:pPr>
            <w:r>
              <w:rPr>
                <w:rFonts w:hint="eastAsia" w:ascii="宋体" w:hAnsi="宋体"/>
                <w:sz w:val="18"/>
                <w:szCs w:val="18"/>
              </w:rPr>
              <w:t>26%</w:t>
            </w:r>
          </w:p>
        </w:tc>
        <w:tc>
          <w:tcPr>
            <w:tcW w:w="1421" w:type="dxa"/>
          </w:tcPr>
          <w:p>
            <w:pPr>
              <w:ind w:firstLine="0" w:firstLineChars="0"/>
              <w:jc w:val="center"/>
              <w:rPr>
                <w:rFonts w:ascii="宋体" w:hAnsi="宋体"/>
                <w:sz w:val="18"/>
                <w:szCs w:val="18"/>
              </w:rPr>
            </w:pPr>
            <w:r>
              <w:rPr>
                <w:rFonts w:hint="eastAsia" w:ascii="宋体" w:hAnsi="宋体"/>
                <w:sz w:val="18"/>
                <w:szCs w:val="18"/>
              </w:rPr>
              <w:t>35%</w:t>
            </w:r>
          </w:p>
        </w:tc>
        <w:tc>
          <w:tcPr>
            <w:tcW w:w="1422" w:type="dxa"/>
            <w:shd w:val="clear" w:color="auto" w:fill="F1F1F1" w:themeFill="background1" w:themeFillShade="F2"/>
          </w:tcPr>
          <w:p>
            <w:pPr>
              <w:ind w:firstLine="0" w:firstLineChars="0"/>
              <w:jc w:val="center"/>
              <w:rPr>
                <w:rFonts w:ascii="宋体" w:hAnsi="宋体"/>
                <w:sz w:val="18"/>
                <w:szCs w:val="18"/>
              </w:rPr>
            </w:pPr>
            <w:r>
              <w:rPr>
                <w:rFonts w:hint="eastAsia" w:ascii="宋体" w:hAnsi="宋体"/>
                <w:sz w:val="18"/>
                <w:szCs w:val="18"/>
              </w:rPr>
              <w:t>20%</w:t>
            </w:r>
          </w:p>
        </w:tc>
        <w:tc>
          <w:tcPr>
            <w:tcW w:w="1422" w:type="dxa"/>
          </w:tcPr>
          <w:p>
            <w:pPr>
              <w:ind w:firstLine="0" w:firstLineChars="0"/>
              <w:jc w:val="center"/>
              <w:rPr>
                <w:rFonts w:ascii="宋体" w:hAnsi="宋体"/>
                <w:sz w:val="18"/>
                <w:szCs w:val="18"/>
              </w:rPr>
            </w:pPr>
            <w:r>
              <w:rPr>
                <w:rFonts w:hint="eastAsia" w:ascii="宋体" w:hAnsi="宋体"/>
                <w:sz w:val="18"/>
                <w:szCs w:val="18"/>
              </w:rPr>
              <w:t>7%</w:t>
            </w:r>
          </w:p>
        </w:tc>
      </w:tr>
    </w:tbl>
    <w:p>
      <w:pPr>
        <w:ind w:firstLine="480"/>
      </w:pPr>
      <w:r>
        <w:rPr>
          <w:rFonts w:hint="eastAsia"/>
        </w:rPr>
        <w:t>从表1可以看出，高净值客户的年龄段主要分布在40-49岁之间。这不仅仅是针对兴业银行，对于整个银行业来说都有这个共性。对于高净值客户群体来说，这个年龄段可能正是事业有成的时间段，有经验、有阅历，考虑问题比较成熟，因此投资也比较广</w:t>
      </w:r>
      <w:r>
        <w:rPr>
          <w:rFonts w:hint="eastAsia"/>
          <w:vertAlign w:val="superscript"/>
          <w:lang w:val="en-US" w:eastAsia="zh-CN"/>
        </w:rPr>
        <w:t>[2]</w:t>
      </w:r>
      <w:r>
        <w:rPr>
          <w:rFonts w:hint="eastAsia"/>
        </w:rPr>
        <w:t>。</w:t>
      </w:r>
    </w:p>
    <w:p>
      <w:pPr>
        <w:pStyle w:val="4"/>
        <w:numPr>
          <w:ilvl w:val="0"/>
          <w:numId w:val="0"/>
        </w:numPr>
        <w:rPr>
          <w:rFonts w:ascii="宋体" w:hAnsi="宋体"/>
          <w:color w:val="FF0000"/>
        </w:rPr>
      </w:pPr>
      <w:bookmarkStart w:id="21" w:name="_Toc33622483"/>
      <w:r>
        <w:rPr>
          <w:rFonts w:hint="eastAsia" w:ascii="宋体" w:hAnsi="宋体"/>
        </w:rPr>
        <w:t>（二）消费者的文化程度</w:t>
      </w:r>
      <w:bookmarkEnd w:id="21"/>
    </w:p>
    <w:p>
      <w:pPr>
        <w:ind w:firstLine="480"/>
      </w:pPr>
      <w:r>
        <w:rPr>
          <w:rFonts w:hint="eastAsia"/>
        </w:rPr>
        <w:t>本文只讨论消费者自身的受教育程度对他所做的投资决策的影响。普遍认为一个人的学历越高，他接受新事物的能力也会越强。在金融投资方面，对理财概念也有一定的认知，懂得规划自己的资产。</w:t>
      </w:r>
    </w:p>
    <w:p>
      <w:pPr>
        <w:ind w:firstLine="480"/>
      </w:pPr>
      <w:r>
        <w:rPr>
          <w:rFonts w:hint="eastAsia"/>
        </w:rPr>
        <w:t>与受教育程度较高的客户交流时，他们能快速的理解意思，并且对于理财业务也有一定的知识储备。相对的，文化程度较低的一些客户，他们还没有适应这个快速发展的时代，是风险的完全规避者，从一开始就完全排斥购买理财产品，或者办理业务办理到一半就申请终止，始终持怀疑态度。根据这一现象，理财经理调查显示，对于文化程度高的顾客，办理业务的成功率可高达80%，并且还能发展成为长期合作客户</w:t>
      </w:r>
      <w:r>
        <w:rPr>
          <w:rFonts w:hint="eastAsia"/>
          <w:vertAlign w:val="superscript"/>
          <w:lang w:val="en-US" w:eastAsia="zh-CN"/>
        </w:rPr>
        <w:t>[3]</w:t>
      </w:r>
      <w:r>
        <w:rPr>
          <w:rFonts w:hint="eastAsia"/>
        </w:rPr>
        <w:t>。</w:t>
      </w:r>
    </w:p>
    <w:p>
      <w:pPr>
        <w:pStyle w:val="4"/>
        <w:numPr>
          <w:ilvl w:val="0"/>
          <w:numId w:val="0"/>
        </w:numPr>
        <w:rPr>
          <w:rFonts w:ascii="宋体" w:hAnsi="宋体"/>
        </w:rPr>
      </w:pPr>
      <w:bookmarkStart w:id="22" w:name="_Toc33622484"/>
      <w:r>
        <w:rPr>
          <w:rFonts w:hint="eastAsia" w:ascii="宋体" w:hAnsi="宋体"/>
        </w:rPr>
        <w:t>（三）消费者的收入</w:t>
      </w:r>
      <w:bookmarkEnd w:id="22"/>
    </w:p>
    <w:p>
      <w:pPr>
        <w:ind w:firstLine="480"/>
      </w:pPr>
      <w:r>
        <w:rPr>
          <w:rFonts w:hint="eastAsia"/>
        </w:rPr>
        <w:t>收入和积蓄，它们是进行投资的前提条件，当然收入越高，承受风险的能力越强，可用来投资的资金也更多，收益也就越高。</w:t>
      </w:r>
    </w:p>
    <w:p>
      <w:pPr>
        <w:ind w:firstLine="480"/>
      </w:pPr>
      <w:r>
        <w:rPr>
          <w:rFonts w:hint="eastAsia"/>
        </w:rPr>
        <w:t>对于有能力购买理财产品的客户，我们无法得知他们的收入具体是多少，也无法统计他们的收入来源，但我们能依据他们在银行购买理财产品的总资金来判断其收入的高低。</w:t>
      </w:r>
    </w:p>
    <w:p>
      <w:pPr>
        <w:ind w:firstLine="420"/>
        <w:jc w:val="center"/>
        <w:rPr>
          <w:color w:val="FF0000"/>
        </w:rPr>
      </w:pPr>
      <w:r>
        <w:rPr>
          <w:rFonts w:hint="eastAsia" w:ascii="宋体" w:hAnsi="宋体"/>
          <w:sz w:val="21"/>
          <w:szCs w:val="21"/>
        </w:rPr>
        <w:t>表2兴业银行龙泉驿支行关于资产的调研</w:t>
      </w:r>
    </w:p>
    <w:tbl>
      <w:tblPr>
        <w:tblStyle w:val="57"/>
        <w:tblW w:w="8528"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1705" w:type="dxa"/>
            <w:shd w:val="clear" w:color="auto" w:fill="F1F1F1" w:themeFill="background1" w:themeFillShade="F2"/>
          </w:tcPr>
          <w:p>
            <w:pPr>
              <w:ind w:firstLine="0" w:firstLineChars="0"/>
              <w:jc w:val="center"/>
              <w:rPr>
                <w:rFonts w:ascii="宋体" w:hAnsi="宋体"/>
                <w:b w:val="0"/>
                <w:bCs w:val="0"/>
                <w:sz w:val="18"/>
                <w:szCs w:val="18"/>
              </w:rPr>
            </w:pPr>
            <w:r>
              <w:rPr>
                <w:rFonts w:hint="eastAsia" w:ascii="宋体" w:hAnsi="宋体"/>
                <w:b w:val="0"/>
                <w:bCs w:val="0"/>
                <w:sz w:val="18"/>
                <w:szCs w:val="18"/>
              </w:rPr>
              <w:t>年份</w:t>
            </w:r>
          </w:p>
        </w:tc>
        <w:tc>
          <w:tcPr>
            <w:tcW w:w="1705" w:type="dxa"/>
            <w:shd w:val="clear" w:color="auto" w:fill="F1F1F1" w:themeFill="background1" w:themeFillShade="F2"/>
          </w:tcPr>
          <w:p>
            <w:pPr>
              <w:ind w:firstLine="0" w:firstLineChars="0"/>
              <w:jc w:val="center"/>
              <w:rPr>
                <w:rFonts w:ascii="宋体" w:hAnsi="宋体"/>
                <w:b w:val="0"/>
                <w:bCs w:val="0"/>
                <w:sz w:val="18"/>
                <w:szCs w:val="18"/>
              </w:rPr>
            </w:pPr>
            <w:r>
              <w:rPr>
                <w:rFonts w:hint="eastAsia" w:ascii="宋体" w:hAnsi="宋体"/>
                <w:b w:val="0"/>
                <w:bCs w:val="0"/>
                <w:sz w:val="18"/>
                <w:szCs w:val="18"/>
              </w:rPr>
              <w:t>资产在0-10万的人数占比</w:t>
            </w:r>
          </w:p>
        </w:tc>
        <w:tc>
          <w:tcPr>
            <w:tcW w:w="1706" w:type="dxa"/>
            <w:shd w:val="clear" w:color="auto" w:fill="F1F1F1" w:themeFill="background1" w:themeFillShade="F2"/>
          </w:tcPr>
          <w:p>
            <w:pPr>
              <w:ind w:firstLine="0" w:firstLineChars="0"/>
              <w:jc w:val="center"/>
              <w:rPr>
                <w:rFonts w:ascii="宋体" w:hAnsi="宋体"/>
                <w:b w:val="0"/>
                <w:bCs w:val="0"/>
                <w:sz w:val="18"/>
                <w:szCs w:val="18"/>
              </w:rPr>
            </w:pPr>
            <w:r>
              <w:rPr>
                <w:rFonts w:hint="eastAsia" w:ascii="宋体" w:hAnsi="宋体"/>
                <w:b w:val="0"/>
                <w:bCs w:val="0"/>
                <w:sz w:val="18"/>
                <w:szCs w:val="18"/>
              </w:rPr>
              <w:t>资产在11-50万的人数占比</w:t>
            </w:r>
          </w:p>
        </w:tc>
        <w:tc>
          <w:tcPr>
            <w:tcW w:w="1706" w:type="dxa"/>
            <w:shd w:val="clear" w:color="auto" w:fill="F1F1F1" w:themeFill="background1" w:themeFillShade="F2"/>
          </w:tcPr>
          <w:p>
            <w:pPr>
              <w:ind w:firstLine="0" w:firstLineChars="0"/>
              <w:jc w:val="center"/>
              <w:rPr>
                <w:rFonts w:ascii="宋体" w:hAnsi="宋体"/>
                <w:b w:val="0"/>
                <w:bCs w:val="0"/>
                <w:sz w:val="18"/>
                <w:szCs w:val="18"/>
              </w:rPr>
            </w:pPr>
            <w:r>
              <w:rPr>
                <w:rFonts w:hint="eastAsia" w:ascii="宋体" w:hAnsi="宋体"/>
                <w:b w:val="0"/>
                <w:bCs w:val="0"/>
                <w:sz w:val="18"/>
                <w:szCs w:val="18"/>
              </w:rPr>
              <w:t>资产在51-100万的人数占比</w:t>
            </w:r>
          </w:p>
        </w:tc>
        <w:tc>
          <w:tcPr>
            <w:tcW w:w="1706" w:type="dxa"/>
            <w:shd w:val="clear" w:color="auto" w:fill="F1F1F1" w:themeFill="background1" w:themeFillShade="F2"/>
          </w:tcPr>
          <w:p>
            <w:pPr>
              <w:ind w:firstLine="0" w:firstLineChars="0"/>
              <w:jc w:val="center"/>
              <w:rPr>
                <w:rFonts w:ascii="宋体" w:hAnsi="宋体"/>
                <w:b w:val="0"/>
                <w:bCs w:val="0"/>
                <w:sz w:val="18"/>
                <w:szCs w:val="18"/>
              </w:rPr>
            </w:pPr>
            <w:r>
              <w:rPr>
                <w:rFonts w:hint="eastAsia" w:ascii="宋体" w:hAnsi="宋体"/>
                <w:b w:val="0"/>
                <w:bCs w:val="0"/>
                <w:sz w:val="18"/>
                <w:szCs w:val="18"/>
              </w:rPr>
              <w:t>资产在100万及以上的人数占比</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1705" w:type="dxa"/>
            <w:shd w:val="clear" w:color="auto" w:fill="F1F1F1" w:themeFill="background1" w:themeFillShade="F2"/>
          </w:tcPr>
          <w:p>
            <w:pPr>
              <w:ind w:firstLine="0" w:firstLineChars="0"/>
              <w:jc w:val="center"/>
              <w:rPr>
                <w:rFonts w:ascii="宋体" w:hAnsi="宋体"/>
                <w:b w:val="0"/>
                <w:bCs w:val="0"/>
                <w:sz w:val="18"/>
                <w:szCs w:val="18"/>
              </w:rPr>
            </w:pPr>
            <w:r>
              <w:rPr>
                <w:rFonts w:hint="eastAsia" w:ascii="宋体" w:hAnsi="宋体"/>
                <w:b w:val="0"/>
                <w:bCs w:val="0"/>
                <w:sz w:val="18"/>
                <w:szCs w:val="18"/>
              </w:rPr>
              <w:t>2017年</w:t>
            </w:r>
          </w:p>
        </w:tc>
        <w:tc>
          <w:tcPr>
            <w:tcW w:w="1705" w:type="dxa"/>
          </w:tcPr>
          <w:p>
            <w:pPr>
              <w:ind w:firstLine="0" w:firstLineChars="0"/>
              <w:jc w:val="center"/>
              <w:rPr>
                <w:rFonts w:ascii="宋体" w:hAnsi="宋体"/>
                <w:sz w:val="18"/>
                <w:szCs w:val="18"/>
              </w:rPr>
            </w:pPr>
            <w:r>
              <w:rPr>
                <w:rFonts w:hint="eastAsia" w:ascii="宋体" w:hAnsi="宋体"/>
                <w:sz w:val="18"/>
                <w:szCs w:val="18"/>
              </w:rPr>
              <w:t>51.0%</w:t>
            </w:r>
          </w:p>
        </w:tc>
        <w:tc>
          <w:tcPr>
            <w:tcW w:w="1706" w:type="dxa"/>
            <w:shd w:val="clear" w:color="auto" w:fill="F1F1F1" w:themeFill="background1" w:themeFillShade="F2"/>
          </w:tcPr>
          <w:p>
            <w:pPr>
              <w:ind w:firstLine="0" w:firstLineChars="0"/>
              <w:jc w:val="center"/>
              <w:rPr>
                <w:rFonts w:ascii="宋体" w:hAnsi="宋体"/>
                <w:sz w:val="18"/>
                <w:szCs w:val="18"/>
              </w:rPr>
            </w:pPr>
            <w:r>
              <w:rPr>
                <w:rFonts w:hint="eastAsia" w:ascii="宋体" w:hAnsi="宋体"/>
                <w:sz w:val="18"/>
                <w:szCs w:val="18"/>
              </w:rPr>
              <w:t>31.0%</w:t>
            </w:r>
          </w:p>
        </w:tc>
        <w:tc>
          <w:tcPr>
            <w:tcW w:w="1706" w:type="dxa"/>
          </w:tcPr>
          <w:p>
            <w:pPr>
              <w:ind w:firstLine="0" w:firstLineChars="0"/>
              <w:jc w:val="center"/>
              <w:rPr>
                <w:rFonts w:ascii="宋体" w:hAnsi="宋体"/>
                <w:sz w:val="18"/>
                <w:szCs w:val="18"/>
              </w:rPr>
            </w:pPr>
            <w:r>
              <w:rPr>
                <w:rFonts w:hint="eastAsia" w:ascii="宋体" w:hAnsi="宋体"/>
                <w:sz w:val="18"/>
                <w:szCs w:val="18"/>
              </w:rPr>
              <w:t>13.0%</w:t>
            </w:r>
          </w:p>
        </w:tc>
        <w:tc>
          <w:tcPr>
            <w:tcW w:w="1706" w:type="dxa"/>
            <w:shd w:val="clear" w:color="auto" w:fill="F1F1F1" w:themeFill="background1" w:themeFillShade="F2"/>
          </w:tcPr>
          <w:p>
            <w:pPr>
              <w:ind w:firstLine="0" w:firstLineChars="0"/>
              <w:jc w:val="center"/>
              <w:rPr>
                <w:rFonts w:ascii="宋体" w:hAnsi="宋体"/>
                <w:sz w:val="18"/>
                <w:szCs w:val="18"/>
              </w:rPr>
            </w:pPr>
            <w:r>
              <w:rPr>
                <w:rFonts w:hint="eastAsia" w:ascii="宋体" w:hAnsi="宋体"/>
                <w:sz w:val="18"/>
                <w:szCs w:val="18"/>
              </w:rPr>
              <w:t>5.0%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1705" w:type="dxa"/>
            <w:shd w:val="clear" w:color="auto" w:fill="F1F1F1" w:themeFill="background1" w:themeFillShade="F2"/>
          </w:tcPr>
          <w:p>
            <w:pPr>
              <w:ind w:firstLine="0" w:firstLineChars="0"/>
              <w:jc w:val="center"/>
              <w:rPr>
                <w:rFonts w:ascii="宋体" w:hAnsi="宋体"/>
                <w:b w:val="0"/>
                <w:bCs w:val="0"/>
                <w:sz w:val="18"/>
                <w:szCs w:val="18"/>
              </w:rPr>
            </w:pPr>
            <w:r>
              <w:rPr>
                <w:rFonts w:hint="eastAsia" w:ascii="宋体" w:hAnsi="宋体"/>
                <w:b w:val="0"/>
                <w:bCs w:val="0"/>
                <w:sz w:val="18"/>
                <w:szCs w:val="18"/>
              </w:rPr>
              <w:t>2018年</w:t>
            </w:r>
          </w:p>
        </w:tc>
        <w:tc>
          <w:tcPr>
            <w:tcW w:w="1705" w:type="dxa"/>
            <w:shd w:val="clear" w:color="auto" w:fill="F1F1F1" w:themeFill="background1" w:themeFillShade="F2"/>
          </w:tcPr>
          <w:p>
            <w:pPr>
              <w:ind w:firstLine="0" w:firstLineChars="0"/>
              <w:jc w:val="center"/>
              <w:rPr>
                <w:rFonts w:ascii="宋体" w:hAnsi="宋体"/>
                <w:sz w:val="18"/>
                <w:szCs w:val="18"/>
              </w:rPr>
            </w:pPr>
            <w:r>
              <w:rPr>
                <w:rFonts w:hint="eastAsia" w:ascii="宋体" w:hAnsi="宋体"/>
                <w:sz w:val="18"/>
                <w:szCs w:val="18"/>
              </w:rPr>
              <w:t>44.5%</w:t>
            </w:r>
          </w:p>
        </w:tc>
        <w:tc>
          <w:tcPr>
            <w:tcW w:w="1706" w:type="dxa"/>
            <w:shd w:val="clear" w:color="auto" w:fill="F1F1F1" w:themeFill="background1" w:themeFillShade="F2"/>
          </w:tcPr>
          <w:p>
            <w:pPr>
              <w:ind w:firstLine="0" w:firstLineChars="0"/>
              <w:jc w:val="center"/>
              <w:rPr>
                <w:rFonts w:ascii="宋体" w:hAnsi="宋体"/>
                <w:sz w:val="18"/>
                <w:szCs w:val="18"/>
              </w:rPr>
            </w:pPr>
            <w:r>
              <w:rPr>
                <w:rFonts w:hint="eastAsia" w:ascii="宋体" w:hAnsi="宋体"/>
                <w:sz w:val="18"/>
                <w:szCs w:val="18"/>
              </w:rPr>
              <w:t>30.5%</w:t>
            </w:r>
          </w:p>
        </w:tc>
        <w:tc>
          <w:tcPr>
            <w:tcW w:w="1706" w:type="dxa"/>
            <w:shd w:val="clear" w:color="auto" w:fill="F1F1F1" w:themeFill="background1" w:themeFillShade="F2"/>
          </w:tcPr>
          <w:p>
            <w:pPr>
              <w:ind w:firstLine="0" w:firstLineChars="0"/>
              <w:jc w:val="center"/>
              <w:rPr>
                <w:rFonts w:ascii="宋体" w:hAnsi="宋体"/>
                <w:sz w:val="18"/>
                <w:szCs w:val="18"/>
              </w:rPr>
            </w:pPr>
            <w:r>
              <w:rPr>
                <w:rFonts w:hint="eastAsia" w:ascii="宋体" w:hAnsi="宋体"/>
                <w:sz w:val="18"/>
                <w:szCs w:val="18"/>
              </w:rPr>
              <w:t>14.5%</w:t>
            </w:r>
          </w:p>
        </w:tc>
        <w:tc>
          <w:tcPr>
            <w:tcW w:w="1706" w:type="dxa"/>
            <w:shd w:val="clear" w:color="auto" w:fill="F1F1F1" w:themeFill="background1" w:themeFillShade="F2"/>
          </w:tcPr>
          <w:p>
            <w:pPr>
              <w:ind w:firstLine="0" w:firstLineChars="0"/>
              <w:jc w:val="center"/>
              <w:rPr>
                <w:rFonts w:ascii="宋体" w:hAnsi="宋体"/>
                <w:sz w:val="18"/>
                <w:szCs w:val="18"/>
              </w:rPr>
            </w:pPr>
            <w:r>
              <w:rPr>
                <w:rFonts w:hint="eastAsia" w:ascii="宋体" w:hAnsi="宋体"/>
                <w:sz w:val="18"/>
                <w:szCs w:val="18"/>
              </w:rPr>
              <w:t>10.5%</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1705" w:type="dxa"/>
            <w:shd w:val="clear" w:color="auto" w:fill="F1F1F1" w:themeFill="background1" w:themeFillShade="F2"/>
          </w:tcPr>
          <w:p>
            <w:pPr>
              <w:ind w:firstLine="0" w:firstLineChars="0"/>
              <w:jc w:val="center"/>
              <w:rPr>
                <w:rFonts w:ascii="宋体" w:hAnsi="宋体"/>
                <w:b w:val="0"/>
                <w:bCs w:val="0"/>
                <w:sz w:val="18"/>
                <w:szCs w:val="18"/>
              </w:rPr>
            </w:pPr>
            <w:r>
              <w:rPr>
                <w:rFonts w:hint="eastAsia" w:ascii="宋体" w:hAnsi="宋体"/>
                <w:b w:val="0"/>
                <w:bCs w:val="0"/>
                <w:sz w:val="18"/>
                <w:szCs w:val="18"/>
              </w:rPr>
              <w:t>2019年</w:t>
            </w:r>
          </w:p>
        </w:tc>
        <w:tc>
          <w:tcPr>
            <w:tcW w:w="1705" w:type="dxa"/>
          </w:tcPr>
          <w:p>
            <w:pPr>
              <w:ind w:firstLine="0" w:firstLineChars="0"/>
              <w:jc w:val="center"/>
              <w:rPr>
                <w:rFonts w:ascii="宋体" w:hAnsi="宋体"/>
                <w:sz w:val="18"/>
                <w:szCs w:val="18"/>
              </w:rPr>
            </w:pPr>
            <w:r>
              <w:rPr>
                <w:rFonts w:hint="eastAsia" w:ascii="宋体" w:hAnsi="宋体"/>
                <w:sz w:val="18"/>
                <w:szCs w:val="18"/>
              </w:rPr>
              <w:t>38.0%</w:t>
            </w:r>
          </w:p>
        </w:tc>
        <w:tc>
          <w:tcPr>
            <w:tcW w:w="1706" w:type="dxa"/>
            <w:shd w:val="clear" w:color="auto" w:fill="F1F1F1" w:themeFill="background1" w:themeFillShade="F2"/>
          </w:tcPr>
          <w:p>
            <w:pPr>
              <w:ind w:firstLine="0" w:firstLineChars="0"/>
              <w:jc w:val="center"/>
              <w:rPr>
                <w:rFonts w:ascii="宋体" w:hAnsi="宋体"/>
                <w:sz w:val="18"/>
                <w:szCs w:val="18"/>
              </w:rPr>
            </w:pPr>
            <w:r>
              <w:rPr>
                <w:rFonts w:hint="eastAsia" w:ascii="宋体" w:hAnsi="宋体"/>
                <w:sz w:val="18"/>
                <w:szCs w:val="18"/>
              </w:rPr>
              <w:t>34.0%</w:t>
            </w:r>
          </w:p>
        </w:tc>
        <w:tc>
          <w:tcPr>
            <w:tcW w:w="1706" w:type="dxa"/>
          </w:tcPr>
          <w:p>
            <w:pPr>
              <w:ind w:firstLine="0" w:firstLineChars="0"/>
              <w:jc w:val="center"/>
              <w:rPr>
                <w:rFonts w:ascii="宋体" w:hAnsi="宋体"/>
                <w:sz w:val="18"/>
                <w:szCs w:val="18"/>
              </w:rPr>
            </w:pPr>
            <w:r>
              <w:rPr>
                <w:rFonts w:hint="eastAsia" w:ascii="宋体" w:hAnsi="宋体"/>
                <w:sz w:val="18"/>
                <w:szCs w:val="18"/>
              </w:rPr>
              <w:t>16.5%</w:t>
            </w:r>
          </w:p>
        </w:tc>
        <w:tc>
          <w:tcPr>
            <w:tcW w:w="1706" w:type="dxa"/>
            <w:shd w:val="clear" w:color="auto" w:fill="F1F1F1" w:themeFill="background1" w:themeFillShade="F2"/>
          </w:tcPr>
          <w:p>
            <w:pPr>
              <w:ind w:firstLine="0" w:firstLineChars="0"/>
              <w:jc w:val="center"/>
              <w:rPr>
                <w:rFonts w:ascii="宋体" w:hAnsi="宋体"/>
                <w:sz w:val="18"/>
                <w:szCs w:val="18"/>
              </w:rPr>
            </w:pPr>
            <w:r>
              <w:rPr>
                <w:rFonts w:hint="eastAsia" w:ascii="宋体" w:hAnsi="宋体"/>
                <w:sz w:val="18"/>
                <w:szCs w:val="18"/>
              </w:rPr>
              <w:t>11.5</w:t>
            </w:r>
            <w:r>
              <w:rPr>
                <w:rFonts w:ascii="宋体" w:hAnsi="宋体"/>
                <w:sz w:val="18"/>
                <w:szCs w:val="18"/>
              </w:rPr>
              <w:t>%</w:t>
            </w:r>
          </w:p>
        </w:tc>
      </w:tr>
    </w:tbl>
    <w:p>
      <w:pPr>
        <w:ind w:firstLine="480"/>
      </w:pPr>
      <w:r>
        <w:rPr>
          <w:rFonts w:hint="eastAsia"/>
        </w:rPr>
        <w:t>从表2可以明确的看出近三年来理财产品投资在0-10万这个阶段的人数最多，100万以上的人数最少。也可以看出愿意投资更多的资金的人数在增加，而这一部分高净值客户的资金一般来说不会只分布在一个地方，意思是他们会把资金分配到不同的银行或者其他金融机构。银行人员应该努力去维护这一些高净值客户，以及提高自身竞争力去吸引更多的潜在客户，从而实现银行的利润最大化</w:t>
      </w:r>
      <w:r>
        <w:rPr>
          <w:rFonts w:hint="eastAsia"/>
          <w:vertAlign w:val="superscript"/>
          <w:lang w:val="en-US" w:eastAsia="zh-CN"/>
        </w:rPr>
        <w:t>[4]</w:t>
      </w:r>
      <w:r>
        <w:rPr>
          <w:rFonts w:hint="eastAsia"/>
        </w:rPr>
        <w:t>。</w:t>
      </w:r>
    </w:p>
    <w:p>
      <w:pPr>
        <w:pStyle w:val="4"/>
        <w:numPr>
          <w:ilvl w:val="0"/>
          <w:numId w:val="0"/>
        </w:numPr>
        <w:rPr>
          <w:rFonts w:ascii="宋体" w:hAnsi="宋体"/>
        </w:rPr>
      </w:pPr>
      <w:bookmarkStart w:id="23" w:name="_Toc33622485"/>
      <w:r>
        <w:rPr>
          <w:rFonts w:hint="eastAsia" w:ascii="宋体" w:hAnsi="宋体"/>
        </w:rPr>
        <w:t>（四）消费者的地理位置</w:t>
      </w:r>
      <w:bookmarkEnd w:id="23"/>
    </w:p>
    <w:p>
      <w:pPr>
        <w:ind w:firstLine="480"/>
      </w:pPr>
      <w:r>
        <w:rPr>
          <w:rFonts w:hint="eastAsia"/>
        </w:rPr>
        <w:t>消费者购买一个物品往往会根据就近原则来选择，理财也是如此。临近于居民小区附近，人流量聚集的地方，良好的地理位置为银行业务开展提供了便利。因此消费者所居住的地理位置理所当然的也是影响理财产品销售的因素，这也是每个小区外面几乎都会有很多不同银行网点的原因。</w:t>
      </w:r>
    </w:p>
    <w:p>
      <w:pPr>
        <w:pStyle w:val="4"/>
        <w:numPr>
          <w:ilvl w:val="0"/>
          <w:numId w:val="0"/>
        </w:numPr>
        <w:rPr>
          <w:rFonts w:ascii="宋体" w:hAnsi="宋体"/>
        </w:rPr>
      </w:pPr>
      <w:r>
        <w:rPr>
          <w:rFonts w:hint="eastAsia" w:ascii="宋体" w:hAnsi="宋体"/>
        </w:rPr>
        <w:t>（五）消费者选择理财的方式</w:t>
      </w:r>
    </w:p>
    <w:p>
      <w:pPr>
        <w:ind w:firstLine="480"/>
      </w:pPr>
      <w:r>
        <w:rPr>
          <w:rFonts w:hint="eastAsia"/>
        </w:rPr>
        <w:t>除了柜面业务办理</w:t>
      </w:r>
      <w:r>
        <w:t>，手机银行以及银行理财软件上面也可自主进行理财产品的购买。现如今几乎每一个银行都有属于自己的手机银行软件，理财产品种类繁多。消费者可以在理财软件上对比每个银行的理财产品，然后选择自己心仪的产品。当消费者选择通过网络购买理财产品的时候，银行本身的产品</w:t>
      </w:r>
      <w:r>
        <w:rPr>
          <w:rFonts w:hint="eastAsia"/>
        </w:rPr>
        <w:t>如果</w:t>
      </w:r>
      <w:r>
        <w:t>没有足够的吸引力，兴业银行就会面临客户流失的风险。</w:t>
      </w:r>
    </w:p>
    <w:p>
      <w:pPr>
        <w:pStyle w:val="4"/>
        <w:numPr>
          <w:ilvl w:val="0"/>
          <w:numId w:val="0"/>
        </w:numPr>
        <w:rPr>
          <w:rFonts w:ascii="宋体" w:hAnsi="宋体"/>
          <w:color w:val="FF0000"/>
        </w:rPr>
      </w:pPr>
      <w:bookmarkStart w:id="24" w:name="_Toc33622486"/>
      <w:r>
        <w:rPr>
          <w:rFonts w:hint="eastAsia" w:ascii="宋体" w:hAnsi="宋体"/>
        </w:rPr>
        <w:t>（六）消费者的</w:t>
      </w:r>
      <w:bookmarkEnd w:id="24"/>
      <w:r>
        <w:rPr>
          <w:rFonts w:hint="eastAsia" w:ascii="宋体" w:hAnsi="宋体"/>
        </w:rPr>
        <w:t>风险承受度</w:t>
      </w:r>
    </w:p>
    <w:p>
      <w:pPr>
        <w:ind w:firstLine="480"/>
      </w:pPr>
      <w:r>
        <w:rPr>
          <w:rFonts w:hint="eastAsia"/>
        </w:rPr>
        <w:t>理财产品风险分为六个等级，R</w:t>
      </w:r>
      <w:r>
        <w:t>1-R6</w:t>
      </w:r>
      <w:r>
        <w:rPr>
          <w:rFonts w:hint="eastAsia"/>
        </w:rPr>
        <w:t>。R</w:t>
      </w:r>
      <w:r>
        <w:t>1</w:t>
      </w:r>
      <w:r>
        <w:rPr>
          <w:rFonts w:hint="eastAsia"/>
        </w:rPr>
        <w:t>：投资本金没有风险，实现产品预期目标的可能性极高；R</w:t>
      </w:r>
      <w:r>
        <w:t>2</w:t>
      </w:r>
      <w:r>
        <w:rPr>
          <w:rFonts w:hint="eastAsia"/>
        </w:rPr>
        <w:t>：产品结构简单，过往业绩及净值的历史波动率低，投资标的流动性很好；R3：投资标的流动性很好，投资衍生品以套期保值为目的；R4：过往业绩及净值的历史波动率较高，投资标的流动性较好，投资衍生品以套期保值为目的；R5：产品结构复杂，过往业绩及净值的历史波动率高，投资标的流动性较差，投资衍生品以追求收益为目的；R6：产品结构复杂，过往业绩及净值的历史波动率很高，投资标的的流动性差，投资衍生品以追求收益为目的。</w:t>
      </w:r>
    </w:p>
    <w:p>
      <w:pPr>
        <w:ind w:firstLine="420"/>
        <w:jc w:val="center"/>
        <w:rPr>
          <w:rFonts w:ascii="宋体" w:hAnsi="宋体"/>
          <w:sz w:val="21"/>
          <w:szCs w:val="21"/>
        </w:rPr>
      </w:pPr>
      <w:r>
        <w:rPr>
          <w:rFonts w:hint="eastAsia" w:ascii="宋体" w:hAnsi="宋体"/>
          <w:sz w:val="21"/>
          <w:szCs w:val="21"/>
        </w:rPr>
        <w:t>表3兴业银行龙泉驿支行关于理财产品风险等级的调研</w:t>
      </w:r>
    </w:p>
    <w:tbl>
      <w:tblPr>
        <w:tblStyle w:val="57"/>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186"/>
        <w:gridCol w:w="1186"/>
        <w:gridCol w:w="1186"/>
        <w:gridCol w:w="1186"/>
        <w:gridCol w:w="1186"/>
        <w:gridCol w:w="1186"/>
        <w:gridCol w:w="1186"/>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86" w:type="dxa"/>
          </w:tcPr>
          <w:p>
            <w:pPr>
              <w:ind w:firstLine="0" w:firstLineChars="0"/>
              <w:rPr>
                <w:rFonts w:ascii="宋体" w:hAnsi="宋体"/>
                <w:b/>
                <w:bCs/>
                <w:sz w:val="18"/>
                <w:szCs w:val="18"/>
              </w:rPr>
            </w:pPr>
          </w:p>
        </w:tc>
        <w:tc>
          <w:tcPr>
            <w:tcW w:w="1186" w:type="dxa"/>
          </w:tcPr>
          <w:p>
            <w:pPr>
              <w:ind w:firstLine="0" w:firstLineChars="0"/>
              <w:rPr>
                <w:rFonts w:ascii="宋体" w:hAnsi="宋体"/>
                <w:b w:val="0"/>
                <w:bCs w:val="0"/>
                <w:sz w:val="18"/>
                <w:szCs w:val="18"/>
              </w:rPr>
            </w:pPr>
            <w:r>
              <w:rPr>
                <w:rFonts w:hint="eastAsia" w:ascii="宋体" w:hAnsi="宋体"/>
                <w:b w:val="0"/>
                <w:bCs w:val="0"/>
                <w:sz w:val="18"/>
                <w:szCs w:val="18"/>
              </w:rPr>
              <w:t>R</w:t>
            </w:r>
            <w:r>
              <w:rPr>
                <w:rFonts w:ascii="宋体" w:hAnsi="宋体"/>
                <w:b w:val="0"/>
                <w:bCs w:val="0"/>
                <w:sz w:val="18"/>
                <w:szCs w:val="18"/>
              </w:rPr>
              <w:t>1</w:t>
            </w:r>
          </w:p>
        </w:tc>
        <w:tc>
          <w:tcPr>
            <w:tcW w:w="1186" w:type="dxa"/>
          </w:tcPr>
          <w:p>
            <w:pPr>
              <w:ind w:firstLine="0" w:firstLineChars="0"/>
              <w:rPr>
                <w:rFonts w:ascii="宋体" w:hAnsi="宋体"/>
                <w:b w:val="0"/>
                <w:bCs w:val="0"/>
                <w:sz w:val="18"/>
                <w:szCs w:val="18"/>
              </w:rPr>
            </w:pPr>
            <w:r>
              <w:rPr>
                <w:rFonts w:hint="eastAsia" w:ascii="宋体" w:hAnsi="宋体"/>
                <w:b w:val="0"/>
                <w:bCs w:val="0"/>
                <w:sz w:val="18"/>
                <w:szCs w:val="18"/>
              </w:rPr>
              <w:t>R</w:t>
            </w:r>
            <w:r>
              <w:rPr>
                <w:rFonts w:ascii="宋体" w:hAnsi="宋体"/>
                <w:b w:val="0"/>
                <w:bCs w:val="0"/>
                <w:sz w:val="18"/>
                <w:szCs w:val="18"/>
              </w:rPr>
              <w:t>2</w:t>
            </w:r>
          </w:p>
        </w:tc>
        <w:tc>
          <w:tcPr>
            <w:tcW w:w="1186" w:type="dxa"/>
          </w:tcPr>
          <w:p>
            <w:pPr>
              <w:ind w:firstLine="0" w:firstLineChars="0"/>
              <w:rPr>
                <w:rFonts w:ascii="宋体" w:hAnsi="宋体"/>
                <w:b w:val="0"/>
                <w:bCs w:val="0"/>
                <w:sz w:val="18"/>
                <w:szCs w:val="18"/>
              </w:rPr>
            </w:pPr>
            <w:r>
              <w:rPr>
                <w:rFonts w:hint="eastAsia" w:ascii="宋体" w:hAnsi="宋体"/>
                <w:b w:val="0"/>
                <w:bCs w:val="0"/>
                <w:sz w:val="18"/>
                <w:szCs w:val="18"/>
              </w:rPr>
              <w:t>R</w:t>
            </w:r>
            <w:r>
              <w:rPr>
                <w:rFonts w:ascii="宋体" w:hAnsi="宋体"/>
                <w:b w:val="0"/>
                <w:bCs w:val="0"/>
                <w:sz w:val="18"/>
                <w:szCs w:val="18"/>
              </w:rPr>
              <w:t>3</w:t>
            </w:r>
          </w:p>
        </w:tc>
        <w:tc>
          <w:tcPr>
            <w:tcW w:w="1186" w:type="dxa"/>
          </w:tcPr>
          <w:p>
            <w:pPr>
              <w:ind w:firstLine="0" w:firstLineChars="0"/>
              <w:rPr>
                <w:rFonts w:ascii="宋体" w:hAnsi="宋体"/>
                <w:b w:val="0"/>
                <w:bCs w:val="0"/>
                <w:sz w:val="18"/>
                <w:szCs w:val="18"/>
              </w:rPr>
            </w:pPr>
            <w:r>
              <w:rPr>
                <w:rFonts w:hint="eastAsia" w:ascii="宋体" w:hAnsi="宋体"/>
                <w:b w:val="0"/>
                <w:bCs w:val="0"/>
                <w:sz w:val="18"/>
                <w:szCs w:val="18"/>
              </w:rPr>
              <w:t>R</w:t>
            </w:r>
            <w:r>
              <w:rPr>
                <w:rFonts w:ascii="宋体" w:hAnsi="宋体"/>
                <w:b w:val="0"/>
                <w:bCs w:val="0"/>
                <w:sz w:val="18"/>
                <w:szCs w:val="18"/>
              </w:rPr>
              <w:t>4</w:t>
            </w:r>
          </w:p>
        </w:tc>
        <w:tc>
          <w:tcPr>
            <w:tcW w:w="1186" w:type="dxa"/>
          </w:tcPr>
          <w:p>
            <w:pPr>
              <w:ind w:firstLine="0" w:firstLineChars="0"/>
              <w:rPr>
                <w:rFonts w:ascii="宋体" w:hAnsi="宋体"/>
                <w:b w:val="0"/>
                <w:bCs w:val="0"/>
                <w:sz w:val="18"/>
                <w:szCs w:val="18"/>
              </w:rPr>
            </w:pPr>
            <w:r>
              <w:rPr>
                <w:rFonts w:hint="eastAsia" w:ascii="宋体" w:hAnsi="宋体"/>
                <w:b w:val="0"/>
                <w:bCs w:val="0"/>
                <w:sz w:val="18"/>
                <w:szCs w:val="18"/>
              </w:rPr>
              <w:t>R</w:t>
            </w:r>
            <w:r>
              <w:rPr>
                <w:rFonts w:ascii="宋体" w:hAnsi="宋体"/>
                <w:b w:val="0"/>
                <w:bCs w:val="0"/>
                <w:sz w:val="18"/>
                <w:szCs w:val="18"/>
              </w:rPr>
              <w:t>5</w:t>
            </w:r>
          </w:p>
        </w:tc>
        <w:tc>
          <w:tcPr>
            <w:tcW w:w="1186" w:type="dxa"/>
          </w:tcPr>
          <w:p>
            <w:pPr>
              <w:ind w:firstLine="0" w:firstLineChars="0"/>
              <w:rPr>
                <w:rFonts w:ascii="宋体" w:hAnsi="宋体"/>
                <w:b w:val="0"/>
                <w:bCs w:val="0"/>
                <w:sz w:val="18"/>
                <w:szCs w:val="18"/>
              </w:rPr>
            </w:pPr>
            <w:r>
              <w:rPr>
                <w:rFonts w:hint="eastAsia" w:ascii="宋体" w:hAnsi="宋体"/>
                <w:b w:val="0"/>
                <w:bCs w:val="0"/>
                <w:sz w:val="18"/>
                <w:szCs w:val="18"/>
              </w:rPr>
              <w:t>R</w:t>
            </w:r>
            <w:r>
              <w:rPr>
                <w:rFonts w:ascii="宋体" w:hAnsi="宋体"/>
                <w:b w:val="0"/>
                <w:bCs w:val="0"/>
                <w:sz w:val="18"/>
                <w:szCs w:val="18"/>
              </w:rPr>
              <w:t>6</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86" w:type="dxa"/>
          </w:tcPr>
          <w:p>
            <w:pPr>
              <w:ind w:firstLine="0" w:firstLineChars="0"/>
              <w:rPr>
                <w:rFonts w:ascii="宋体" w:hAnsi="宋体"/>
                <w:b w:val="0"/>
                <w:bCs w:val="0"/>
                <w:sz w:val="18"/>
                <w:szCs w:val="18"/>
              </w:rPr>
            </w:pPr>
            <w:r>
              <w:rPr>
                <w:rFonts w:hint="eastAsia" w:ascii="宋体" w:hAnsi="宋体"/>
                <w:b w:val="0"/>
                <w:bCs w:val="0"/>
                <w:sz w:val="18"/>
                <w:szCs w:val="18"/>
              </w:rPr>
              <w:t>人数</w:t>
            </w:r>
          </w:p>
        </w:tc>
        <w:tc>
          <w:tcPr>
            <w:tcW w:w="1186" w:type="dxa"/>
          </w:tcPr>
          <w:p>
            <w:pPr>
              <w:ind w:firstLine="0" w:firstLineChars="0"/>
              <w:rPr>
                <w:rFonts w:ascii="宋体" w:hAnsi="宋体"/>
                <w:sz w:val="18"/>
                <w:szCs w:val="18"/>
              </w:rPr>
            </w:pPr>
            <w:r>
              <w:rPr>
                <w:rFonts w:hint="eastAsia" w:ascii="宋体" w:hAnsi="宋体"/>
                <w:sz w:val="18"/>
                <w:szCs w:val="18"/>
              </w:rPr>
              <w:t>8</w:t>
            </w:r>
            <w:r>
              <w:rPr>
                <w:rFonts w:ascii="宋体" w:hAnsi="宋体"/>
                <w:sz w:val="18"/>
                <w:szCs w:val="18"/>
              </w:rPr>
              <w:t>2</w:t>
            </w:r>
          </w:p>
        </w:tc>
        <w:tc>
          <w:tcPr>
            <w:tcW w:w="1186" w:type="dxa"/>
          </w:tcPr>
          <w:p>
            <w:pPr>
              <w:ind w:firstLine="0" w:firstLineChars="0"/>
              <w:rPr>
                <w:rFonts w:ascii="宋体" w:hAnsi="宋体"/>
                <w:sz w:val="18"/>
                <w:szCs w:val="18"/>
              </w:rPr>
            </w:pPr>
            <w:r>
              <w:rPr>
                <w:rFonts w:hint="eastAsia" w:ascii="宋体" w:hAnsi="宋体"/>
                <w:sz w:val="18"/>
                <w:szCs w:val="18"/>
              </w:rPr>
              <w:t>1</w:t>
            </w:r>
            <w:r>
              <w:rPr>
                <w:rFonts w:ascii="宋体" w:hAnsi="宋体"/>
                <w:sz w:val="18"/>
                <w:szCs w:val="18"/>
              </w:rPr>
              <w:t>20</w:t>
            </w:r>
          </w:p>
        </w:tc>
        <w:tc>
          <w:tcPr>
            <w:tcW w:w="1186" w:type="dxa"/>
          </w:tcPr>
          <w:p>
            <w:pPr>
              <w:ind w:firstLine="0" w:firstLineChars="0"/>
              <w:rPr>
                <w:rFonts w:ascii="宋体" w:hAnsi="宋体"/>
                <w:sz w:val="18"/>
                <w:szCs w:val="18"/>
              </w:rPr>
            </w:pPr>
            <w:r>
              <w:rPr>
                <w:rFonts w:hint="eastAsia" w:ascii="宋体" w:hAnsi="宋体"/>
                <w:sz w:val="18"/>
                <w:szCs w:val="18"/>
              </w:rPr>
              <w:t>5</w:t>
            </w:r>
            <w:r>
              <w:rPr>
                <w:rFonts w:ascii="宋体" w:hAnsi="宋体"/>
                <w:sz w:val="18"/>
                <w:szCs w:val="18"/>
              </w:rPr>
              <w:t>6</w:t>
            </w:r>
          </w:p>
        </w:tc>
        <w:tc>
          <w:tcPr>
            <w:tcW w:w="1186" w:type="dxa"/>
          </w:tcPr>
          <w:p>
            <w:pPr>
              <w:ind w:firstLine="0" w:firstLineChars="0"/>
              <w:rPr>
                <w:rFonts w:ascii="宋体" w:hAnsi="宋体"/>
                <w:sz w:val="18"/>
                <w:szCs w:val="18"/>
              </w:rPr>
            </w:pPr>
            <w:r>
              <w:rPr>
                <w:rFonts w:hint="eastAsia" w:ascii="宋体" w:hAnsi="宋体"/>
                <w:sz w:val="18"/>
                <w:szCs w:val="18"/>
              </w:rPr>
              <w:t>2</w:t>
            </w:r>
            <w:r>
              <w:rPr>
                <w:rFonts w:ascii="宋体" w:hAnsi="宋体"/>
                <w:sz w:val="18"/>
                <w:szCs w:val="18"/>
              </w:rPr>
              <w:t>1</w:t>
            </w:r>
          </w:p>
        </w:tc>
        <w:tc>
          <w:tcPr>
            <w:tcW w:w="1186" w:type="dxa"/>
          </w:tcPr>
          <w:p>
            <w:pPr>
              <w:ind w:firstLine="0" w:firstLineChars="0"/>
              <w:rPr>
                <w:rFonts w:ascii="宋体" w:hAnsi="宋体"/>
                <w:sz w:val="18"/>
                <w:szCs w:val="18"/>
              </w:rPr>
            </w:pPr>
            <w:r>
              <w:rPr>
                <w:rFonts w:hint="eastAsia" w:ascii="宋体" w:hAnsi="宋体"/>
                <w:sz w:val="18"/>
                <w:szCs w:val="18"/>
              </w:rPr>
              <w:t>1</w:t>
            </w:r>
            <w:r>
              <w:rPr>
                <w:rFonts w:ascii="宋体" w:hAnsi="宋体"/>
                <w:sz w:val="18"/>
                <w:szCs w:val="18"/>
              </w:rPr>
              <w:t>2</w:t>
            </w:r>
          </w:p>
        </w:tc>
        <w:tc>
          <w:tcPr>
            <w:tcW w:w="1186" w:type="dxa"/>
          </w:tcPr>
          <w:p>
            <w:pPr>
              <w:ind w:firstLine="0" w:firstLineChars="0"/>
              <w:rPr>
                <w:rFonts w:ascii="宋体" w:hAnsi="宋体"/>
                <w:sz w:val="18"/>
                <w:szCs w:val="18"/>
              </w:rPr>
            </w:pPr>
            <w:r>
              <w:rPr>
                <w:rFonts w:hint="eastAsia" w:ascii="宋体" w:hAnsi="宋体"/>
                <w:sz w:val="18"/>
                <w:szCs w:val="18"/>
              </w:rPr>
              <w:t>9</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186" w:type="dxa"/>
          </w:tcPr>
          <w:p>
            <w:pPr>
              <w:ind w:firstLine="0" w:firstLineChars="0"/>
              <w:rPr>
                <w:rFonts w:ascii="宋体" w:hAnsi="宋体"/>
                <w:b w:val="0"/>
                <w:bCs w:val="0"/>
                <w:sz w:val="18"/>
                <w:szCs w:val="18"/>
              </w:rPr>
            </w:pPr>
            <w:r>
              <w:rPr>
                <w:rFonts w:hint="eastAsia" w:ascii="宋体" w:hAnsi="宋体"/>
                <w:b w:val="0"/>
                <w:bCs w:val="0"/>
                <w:sz w:val="18"/>
                <w:szCs w:val="18"/>
              </w:rPr>
              <w:t>占比</w:t>
            </w:r>
          </w:p>
        </w:tc>
        <w:tc>
          <w:tcPr>
            <w:tcW w:w="1186" w:type="dxa"/>
          </w:tcPr>
          <w:p>
            <w:pPr>
              <w:ind w:firstLine="0" w:firstLineChars="0"/>
              <w:rPr>
                <w:rFonts w:ascii="宋体" w:hAnsi="宋体"/>
                <w:sz w:val="18"/>
                <w:szCs w:val="18"/>
              </w:rPr>
            </w:pPr>
            <w:r>
              <w:rPr>
                <w:rFonts w:ascii="宋体" w:hAnsi="宋体"/>
                <w:sz w:val="18"/>
                <w:szCs w:val="18"/>
              </w:rPr>
              <w:t>27.3%</w:t>
            </w:r>
          </w:p>
        </w:tc>
        <w:tc>
          <w:tcPr>
            <w:tcW w:w="1186" w:type="dxa"/>
          </w:tcPr>
          <w:p>
            <w:pPr>
              <w:ind w:firstLine="0" w:firstLineChars="0"/>
              <w:rPr>
                <w:rFonts w:ascii="宋体" w:hAnsi="宋体"/>
                <w:sz w:val="18"/>
                <w:szCs w:val="18"/>
              </w:rPr>
            </w:pPr>
            <w:r>
              <w:rPr>
                <w:rFonts w:hint="eastAsia" w:ascii="宋体" w:hAnsi="宋体"/>
                <w:sz w:val="18"/>
                <w:szCs w:val="18"/>
              </w:rPr>
              <w:t>4</w:t>
            </w:r>
            <w:r>
              <w:rPr>
                <w:rFonts w:ascii="宋体" w:hAnsi="宋体"/>
                <w:sz w:val="18"/>
                <w:szCs w:val="18"/>
              </w:rPr>
              <w:t>0.0%</w:t>
            </w:r>
          </w:p>
        </w:tc>
        <w:tc>
          <w:tcPr>
            <w:tcW w:w="1186" w:type="dxa"/>
          </w:tcPr>
          <w:p>
            <w:pPr>
              <w:ind w:firstLine="0" w:firstLineChars="0"/>
              <w:rPr>
                <w:rFonts w:ascii="宋体" w:hAnsi="宋体"/>
                <w:sz w:val="18"/>
                <w:szCs w:val="18"/>
              </w:rPr>
            </w:pPr>
            <w:r>
              <w:rPr>
                <w:rFonts w:hint="eastAsia" w:ascii="宋体" w:hAnsi="宋体"/>
                <w:sz w:val="18"/>
                <w:szCs w:val="18"/>
              </w:rPr>
              <w:t>1</w:t>
            </w:r>
            <w:r>
              <w:rPr>
                <w:rFonts w:ascii="宋体" w:hAnsi="宋体"/>
                <w:sz w:val="18"/>
                <w:szCs w:val="18"/>
              </w:rPr>
              <w:t>8.7%</w:t>
            </w:r>
          </w:p>
        </w:tc>
        <w:tc>
          <w:tcPr>
            <w:tcW w:w="1186" w:type="dxa"/>
          </w:tcPr>
          <w:p>
            <w:pPr>
              <w:ind w:firstLine="0" w:firstLineChars="0"/>
              <w:rPr>
                <w:rFonts w:ascii="宋体" w:hAnsi="宋体"/>
                <w:sz w:val="18"/>
                <w:szCs w:val="18"/>
              </w:rPr>
            </w:pPr>
            <w:r>
              <w:rPr>
                <w:rFonts w:hint="eastAsia" w:ascii="宋体" w:hAnsi="宋体"/>
                <w:sz w:val="18"/>
                <w:szCs w:val="18"/>
              </w:rPr>
              <w:t>7</w:t>
            </w:r>
            <w:r>
              <w:rPr>
                <w:rFonts w:ascii="宋体" w:hAnsi="宋体"/>
                <w:sz w:val="18"/>
                <w:szCs w:val="18"/>
              </w:rPr>
              <w:t>.0%</w:t>
            </w:r>
          </w:p>
        </w:tc>
        <w:tc>
          <w:tcPr>
            <w:tcW w:w="1186" w:type="dxa"/>
          </w:tcPr>
          <w:p>
            <w:pPr>
              <w:ind w:firstLine="0" w:firstLineChars="0"/>
              <w:rPr>
                <w:rFonts w:ascii="宋体" w:hAnsi="宋体"/>
                <w:sz w:val="18"/>
                <w:szCs w:val="18"/>
              </w:rPr>
            </w:pPr>
            <w:r>
              <w:rPr>
                <w:rFonts w:hint="eastAsia" w:ascii="宋体" w:hAnsi="宋体"/>
                <w:sz w:val="18"/>
                <w:szCs w:val="18"/>
              </w:rPr>
              <w:t>4</w:t>
            </w:r>
            <w:r>
              <w:rPr>
                <w:rFonts w:ascii="宋体" w:hAnsi="宋体"/>
                <w:sz w:val="18"/>
                <w:szCs w:val="18"/>
              </w:rPr>
              <w:t>.0%</w:t>
            </w:r>
          </w:p>
        </w:tc>
        <w:tc>
          <w:tcPr>
            <w:tcW w:w="1186" w:type="dxa"/>
          </w:tcPr>
          <w:p>
            <w:pPr>
              <w:ind w:firstLine="0" w:firstLineChars="0"/>
              <w:rPr>
                <w:rFonts w:ascii="宋体" w:hAnsi="宋体"/>
                <w:sz w:val="18"/>
                <w:szCs w:val="18"/>
              </w:rPr>
            </w:pPr>
            <w:r>
              <w:rPr>
                <w:rFonts w:hint="eastAsia" w:ascii="宋体" w:hAnsi="宋体"/>
                <w:sz w:val="18"/>
                <w:szCs w:val="18"/>
              </w:rPr>
              <w:t>3</w:t>
            </w:r>
            <w:r>
              <w:rPr>
                <w:rFonts w:ascii="宋体" w:hAnsi="宋体"/>
                <w:sz w:val="18"/>
                <w:szCs w:val="18"/>
              </w:rPr>
              <w:t>.0%</w:t>
            </w:r>
          </w:p>
        </w:tc>
      </w:tr>
    </w:tbl>
    <w:p>
      <w:pPr>
        <w:ind w:firstLine="480"/>
      </w:pPr>
      <w:r>
        <w:rPr>
          <w:rFonts w:hint="eastAsia"/>
        </w:rPr>
        <w:t>由表3可知，选择理财风险等级为R</w:t>
      </w:r>
      <w:r>
        <w:t>2</w:t>
      </w:r>
      <w:r>
        <w:rPr>
          <w:rFonts w:hint="eastAsia"/>
        </w:rPr>
        <w:t>的客户占比最高，其次是R</w:t>
      </w:r>
      <w:r>
        <w:t>1</w:t>
      </w:r>
      <w:r>
        <w:rPr>
          <w:rFonts w:hint="eastAsia"/>
        </w:rPr>
        <w:t>跟R</w:t>
      </w:r>
      <w:r>
        <w:t>3</w:t>
      </w:r>
      <w:r>
        <w:rPr>
          <w:rFonts w:hint="eastAsia"/>
        </w:rPr>
        <w:t>。购买R</w:t>
      </w:r>
      <w:r>
        <w:t>4</w:t>
      </w:r>
      <w:r>
        <w:rPr>
          <w:rFonts w:hint="eastAsia"/>
        </w:rPr>
        <w:t>等级以上产品的客户少之又少，说明大部分顾客的风险承受能力还不足，但是仍然有一部分人的风险承受能力较高。根据最新2020年5月1日，兴业银行的理财产品的数据显示，宣告额度紧张的理财产品有17款，其中风险等级为R</w:t>
      </w:r>
      <w:r>
        <w:t>1</w:t>
      </w:r>
      <w:r>
        <w:rPr>
          <w:rFonts w:hint="eastAsia"/>
        </w:rPr>
        <w:t>的有3款，风险等级为R</w:t>
      </w:r>
      <w:r>
        <w:t>2</w:t>
      </w:r>
      <w:r>
        <w:rPr>
          <w:rFonts w:hint="eastAsia"/>
        </w:rPr>
        <w:t>的有9款，风险等级为R</w:t>
      </w:r>
      <w:r>
        <w:t>3</w:t>
      </w:r>
      <w:r>
        <w:rPr>
          <w:rFonts w:hint="eastAsia"/>
        </w:rPr>
        <w:t>的有5款。</w:t>
      </w:r>
    </w:p>
    <w:p>
      <w:pPr>
        <w:pStyle w:val="2"/>
        <w:numPr>
          <w:ilvl w:val="0"/>
          <w:numId w:val="0"/>
        </w:numPr>
        <w:spacing w:before="312"/>
      </w:pPr>
      <w:r>
        <w:rPr>
          <w:rFonts w:hint="eastAsia"/>
        </w:rPr>
        <w:t>二、理财产品销售建议</w:t>
      </w:r>
    </w:p>
    <w:p>
      <w:pPr>
        <w:pStyle w:val="3"/>
        <w:numPr>
          <w:ilvl w:val="0"/>
          <w:numId w:val="0"/>
        </w:numPr>
        <w:rPr>
          <w:rFonts w:ascii="宋体" w:hAnsi="宋体"/>
          <w:color w:val="FF0000"/>
        </w:rPr>
      </w:pPr>
      <w:r>
        <w:rPr>
          <w:rFonts w:hint="eastAsia" w:ascii="宋体" w:hAnsi="宋体"/>
        </w:rPr>
        <w:t>（一）重视银行服务</w:t>
      </w:r>
    </w:p>
    <w:p>
      <w:pPr>
        <w:ind w:firstLine="480"/>
      </w:pPr>
      <w:r>
        <w:rPr>
          <w:rFonts w:hint="eastAsia"/>
        </w:rPr>
        <w:t>首要的是端正服务态度，银行作为一个服务行业，在面对顾客的需求时要有耐心聆听以及提供热情的帮助。在空闲时间，可以有针对的跟客户聊天，给予客户亲切的感觉，是维持长远合作关系的好办法。</w:t>
      </w:r>
    </w:p>
    <w:p>
      <w:pPr>
        <w:ind w:firstLine="480"/>
      </w:pPr>
      <w:r>
        <w:rPr>
          <w:rFonts w:hint="eastAsia"/>
        </w:rPr>
        <w:t>在业务进行中除了热情的服务，还要具有良好的知识储备，展现出银行的专业素质，要有让顾客认可的能力。</w:t>
      </w:r>
    </w:p>
    <w:p>
      <w:pPr>
        <w:ind w:firstLine="480"/>
      </w:pPr>
      <w:r>
        <w:rPr>
          <w:rFonts w:hint="eastAsia"/>
        </w:rPr>
        <w:t>业务完成后要对顾客的理财业务进行及时的跟踪，提供有效的反馈机制。同时可以听取客户提出的不足之处，做好售后服务。</w:t>
      </w:r>
    </w:p>
    <w:p>
      <w:pPr>
        <w:ind w:firstLine="480"/>
      </w:pPr>
      <w:r>
        <w:rPr>
          <w:rFonts w:hint="eastAsia"/>
        </w:rPr>
        <w:t>好的服务不仅是吸引顾客的高效手段，对维持原有顾客也富有成效。现如今，理财产品同质化严重，收益不分上下，而银行所提供的服务成为了顾客考虑的一个重要因素。</w:t>
      </w:r>
    </w:p>
    <w:p>
      <w:pPr>
        <w:pStyle w:val="3"/>
        <w:numPr>
          <w:ilvl w:val="0"/>
          <w:numId w:val="0"/>
        </w:numPr>
        <w:rPr>
          <w:rFonts w:ascii="宋体" w:hAnsi="宋体"/>
        </w:rPr>
      </w:pPr>
      <w:r>
        <w:rPr>
          <w:rFonts w:hint="eastAsia" w:ascii="宋体" w:hAnsi="宋体"/>
        </w:rPr>
        <w:t>（二）有针对性的进行业务推广</w:t>
      </w:r>
    </w:p>
    <w:p>
      <w:pPr>
        <w:ind w:firstLine="480"/>
      </w:pPr>
      <w:r>
        <w:rPr>
          <w:rFonts w:hint="eastAsia"/>
        </w:rPr>
        <w:t>调查发现目标客户群体大概的年龄段为三、四十岁及以上，根据这一统计数据，可在银行日常的业务办理中挖掘潜在客户，无论是网点内的宣传还是网点外的宣传，都可针对目标顾客进行较为详细的介绍，以此来节约不必要的物力和人力资源。</w:t>
      </w:r>
    </w:p>
    <w:p>
      <w:pPr>
        <w:ind w:firstLine="480"/>
      </w:pPr>
      <w:r>
        <w:rPr>
          <w:rFonts w:hint="eastAsia"/>
        </w:rPr>
        <w:t>消费者文化程度会对理财产品的销售造成一定的影响，但并不是绝对的。对于接受能力较慢的客户，要恰如其分的给他们讲解以及提供不同的理财产品购买方案。银行工作人员还应在日常工作中与顾客多交谈，根据顾客的需要进行交叉营销。</w:t>
      </w:r>
    </w:p>
    <w:p>
      <w:pPr>
        <w:ind w:firstLine="480"/>
      </w:pPr>
      <w:r>
        <w:rPr>
          <w:rFonts w:hint="eastAsia"/>
        </w:rPr>
        <w:t>银行从业人员必须具备敏锐的洞察力，对于客户的言行举止，衣着等进行判断，可以进一步了解客户的身份。客户可能是老板也可能是职员，根据他们的身份不同，推荐给客户更适合的产品。</w:t>
      </w:r>
      <w:bookmarkStart w:id="25" w:name="_Toc33622496"/>
    </w:p>
    <w:p>
      <w:pPr>
        <w:pStyle w:val="2"/>
        <w:numPr>
          <w:ilvl w:val="0"/>
          <w:numId w:val="0"/>
        </w:numPr>
        <w:spacing w:before="312"/>
        <w:jc w:val="center"/>
        <w:rPr>
          <w:sz w:val="28"/>
          <w:szCs w:val="28"/>
        </w:rPr>
      </w:pPr>
      <w:r>
        <w:rPr>
          <w:rFonts w:hint="eastAsia"/>
          <w:sz w:val="28"/>
          <w:szCs w:val="28"/>
        </w:rPr>
        <w:t>参考文献</w:t>
      </w:r>
      <w:bookmarkEnd w:id="25"/>
    </w:p>
    <w:p>
      <w:pPr>
        <w:ind w:firstLine="420"/>
        <w:rPr>
          <w:rFonts w:ascii="宋体" w:hAnsi="宋体"/>
          <w:sz w:val="21"/>
          <w:szCs w:val="21"/>
        </w:rPr>
      </w:pPr>
      <w:r>
        <w:rPr>
          <w:rFonts w:hint="eastAsia" w:ascii="宋体" w:hAnsi="宋体"/>
          <w:sz w:val="21"/>
          <w:szCs w:val="21"/>
        </w:rPr>
        <w:t>[1]周东琪.大数据背景下J商业银行理财产品销售的精准营销研究[D].山东:山东师范大学,2019</w:t>
      </w:r>
    </w:p>
    <w:p>
      <w:pPr>
        <w:ind w:firstLine="420"/>
        <w:rPr>
          <w:rFonts w:ascii="宋体" w:hAnsi="宋体"/>
          <w:sz w:val="21"/>
          <w:szCs w:val="21"/>
        </w:rPr>
      </w:pPr>
      <w:r>
        <w:rPr>
          <w:rFonts w:hint="eastAsia" w:ascii="宋体" w:hAnsi="宋体"/>
          <w:sz w:val="21"/>
          <w:szCs w:val="21"/>
        </w:rPr>
        <w:t>[2] 尹浩.消费者购买互联网理财产品的意愿研究[D].河南:河南大学,2019</w:t>
      </w:r>
    </w:p>
    <w:p>
      <w:pPr>
        <w:ind w:firstLine="420"/>
        <w:rPr>
          <w:rFonts w:ascii="宋体" w:hAnsi="宋体"/>
          <w:sz w:val="21"/>
          <w:szCs w:val="21"/>
        </w:rPr>
      </w:pPr>
      <w:r>
        <w:rPr>
          <w:rFonts w:hint="eastAsia" w:ascii="宋体" w:hAnsi="宋体"/>
          <w:sz w:val="21"/>
          <w:szCs w:val="21"/>
        </w:rPr>
        <w:t>[3]乔雅琳.非理性行为对于个人理财投资决策的影响[J].纳税,2019,13(29):216</w:t>
      </w:r>
    </w:p>
    <w:p>
      <w:pPr>
        <w:ind w:firstLine="420"/>
        <w:rPr>
          <w:rFonts w:ascii="宋体" w:hAnsi="宋体"/>
          <w:sz w:val="21"/>
          <w:szCs w:val="21"/>
        </w:rPr>
      </w:pPr>
      <w:r>
        <w:rPr>
          <w:rFonts w:hint="eastAsia" w:ascii="宋体" w:hAnsi="宋体"/>
          <w:sz w:val="21"/>
          <w:szCs w:val="21"/>
        </w:rPr>
        <w:t>[4]秦丽.互联网金融对个人理财的影响研究[J].时代农机,2018,45(10):164</w:t>
      </w: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pStyle w:val="2"/>
        <w:numPr>
          <w:ilvl w:val="0"/>
          <w:numId w:val="0"/>
        </w:numPr>
        <w:spacing w:before="312"/>
        <w:jc w:val="center"/>
        <w:rPr>
          <w:sz w:val="28"/>
          <w:szCs w:val="28"/>
        </w:rPr>
      </w:pPr>
      <w:bookmarkStart w:id="26" w:name="_Toc33622497"/>
      <w:r>
        <w:rPr>
          <w:rFonts w:hint="eastAsia"/>
          <w:sz w:val="28"/>
          <w:szCs w:val="28"/>
        </w:rPr>
        <w:t>致    谢</w:t>
      </w:r>
      <w:bookmarkEnd w:id="26"/>
    </w:p>
    <w:p>
      <w:pPr>
        <w:ind w:firstLine="480"/>
      </w:pPr>
      <w:r>
        <w:rPr>
          <w:rFonts w:hint="eastAsia"/>
        </w:rPr>
        <w:t>本文是在苏甘雅老师的热情关心和指导下完成的，她渊博的知识和严谨的治学态度使我受益匪浅，对顺利完成本课题起到了极大的作用。在此向她表示我最衷心的感谢！</w:t>
      </w:r>
    </w:p>
    <w:p>
      <w:pPr>
        <w:ind w:firstLine="480"/>
      </w:pPr>
      <w:r>
        <w:rPr>
          <w:rFonts w:hint="eastAsia"/>
        </w:rPr>
        <w:t>最后向在百忙之中评审本文的各位专家、老师表示衷心的感谢！</w:t>
      </w:r>
    </w:p>
    <w:p>
      <w:pPr>
        <w:ind w:firstLine="480"/>
      </w:pPr>
    </w:p>
    <w:p>
      <w:pPr>
        <w:ind w:firstLine="480"/>
      </w:pPr>
    </w:p>
    <w:p>
      <w:pPr>
        <w:ind w:firstLine="480"/>
      </w:pPr>
    </w:p>
    <w:p>
      <w:pPr>
        <w:ind w:firstLine="480"/>
      </w:pPr>
    </w:p>
    <w:p>
      <w:pPr>
        <w:ind w:firstLine="480"/>
      </w:pPr>
    </w:p>
    <w:p>
      <w:pPr>
        <w:ind w:firstLine="480"/>
      </w:pPr>
    </w:p>
    <w:p>
      <w:pPr>
        <w:ind w:firstLine="480"/>
      </w:pPr>
      <w:r>
        <w:rPr>
          <w:rFonts w:hint="eastAsia"/>
        </w:rPr>
        <w:t>作者简介：</w:t>
      </w:r>
    </w:p>
    <w:p>
      <w:pPr>
        <w:ind w:firstLine="480"/>
      </w:pPr>
      <w:r>
        <w:rPr>
          <w:rFonts w:hint="eastAsia"/>
        </w:rPr>
        <w:t xml:space="preserve">姓    名：胡章琳                                  性别：女 </w:t>
      </w:r>
    </w:p>
    <w:p>
      <w:pPr>
        <w:ind w:firstLine="480"/>
      </w:pPr>
      <w:r>
        <w:rPr>
          <w:rFonts w:hint="eastAsia"/>
        </w:rPr>
        <w:t xml:space="preserve">出生年月：1997年7月                              民族：汉族 </w:t>
      </w:r>
    </w:p>
    <w:p>
      <w:pPr>
        <w:ind w:firstLine="480"/>
      </w:pPr>
      <w:r>
        <w:t>E-mail:</w:t>
      </w:r>
      <w:r>
        <w:rPr>
          <w:rFonts w:hint="eastAsia"/>
        </w:rPr>
        <w:t>1585269404@</w:t>
      </w:r>
      <w:r>
        <w:t>qq.com</w:t>
      </w: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ind w:firstLine="0" w:firstLineChars="0"/>
        <w:outlineLvl w:val="2"/>
        <w:rPr>
          <w:rFonts w:ascii="宋体" w:hAnsi="宋体"/>
        </w:rPr>
      </w:pPr>
    </w:p>
    <w:p>
      <w:pPr>
        <w:pStyle w:val="2"/>
        <w:numPr>
          <w:ilvl w:val="0"/>
          <w:numId w:val="0"/>
        </w:numPr>
        <w:spacing w:before="312"/>
        <w:jc w:val="center"/>
        <w:rPr>
          <w:sz w:val="28"/>
          <w:szCs w:val="28"/>
        </w:rPr>
      </w:pPr>
      <w:bookmarkStart w:id="27" w:name="_Toc33622498"/>
      <w:r>
        <w:rPr>
          <w:rFonts w:hint="eastAsia"/>
          <w:sz w:val="28"/>
          <w:szCs w:val="28"/>
        </w:rPr>
        <w:t>声    明</w:t>
      </w:r>
      <w:bookmarkEnd w:id="27"/>
    </w:p>
    <w:p>
      <w:pPr>
        <w:ind w:firstLine="480"/>
      </w:pPr>
      <w:r>
        <w:rPr>
          <w:rFonts w:hint="eastAsia"/>
        </w:rPr>
        <w:t>本论文的工作是2</w:t>
      </w:r>
      <w:r>
        <w:t>019</w:t>
      </w:r>
      <w:r>
        <w:rPr>
          <w:rFonts w:hint="eastAsia"/>
        </w:rPr>
        <w:t>年</w:t>
      </w:r>
      <w:r>
        <w:t>11</w:t>
      </w:r>
      <w:r>
        <w:rPr>
          <w:rFonts w:hint="eastAsia"/>
        </w:rPr>
        <w:t>月至20</w:t>
      </w:r>
      <w:r>
        <w:t>20</w:t>
      </w:r>
      <w:r>
        <w:rPr>
          <w:rFonts w:hint="eastAsia"/>
        </w:rPr>
        <w:t>年5月在成都信息工程大学统计学院完成的。文中除了特别加以标注地方外，不包含他人已经发表或撰写过的研究成果，也不包含为获得成都信息工程大学或其他教学机构的学位或证书而使用过的材料。</w:t>
      </w:r>
    </w:p>
    <w:p>
      <w:pPr>
        <w:ind w:firstLine="480"/>
      </w:pPr>
      <w:r>
        <w:rPr>
          <w:rFonts w:hint="eastAsia"/>
        </w:rPr>
        <w:t>关于学位论文使用权和研究成果知识产权的说明：</w:t>
      </w:r>
    </w:p>
    <w:p>
      <w:pPr>
        <w:ind w:firstLine="480"/>
      </w:pPr>
      <w:r>
        <w:rPr>
          <w:rFonts w:hint="eastAsia"/>
        </w:rPr>
        <w:t>本人完全了解成都信息工程大学有关保管使用学位论文的规定，其中包括：</w:t>
      </w:r>
    </w:p>
    <w:p>
      <w:pPr>
        <w:ind w:firstLine="480"/>
      </w:pPr>
      <w:r>
        <w:rPr>
          <w:rFonts w:hint="eastAsia"/>
        </w:rPr>
        <w:t>（1）学校有权保管并向有关部门递交学位论文的原件与复印件。</w:t>
      </w:r>
    </w:p>
    <w:p>
      <w:pPr>
        <w:ind w:firstLine="480"/>
      </w:pPr>
      <w:r>
        <w:rPr>
          <w:rFonts w:hint="eastAsia"/>
        </w:rPr>
        <w:t>（2）学校可以采用影印、缩印或其他复制方式保存学位论文。</w:t>
      </w:r>
    </w:p>
    <w:p>
      <w:pPr>
        <w:ind w:firstLine="480"/>
      </w:pPr>
      <w:r>
        <w:rPr>
          <w:rFonts w:hint="eastAsia"/>
        </w:rPr>
        <w:t>（3）学校可以学术交流为目的复制、赠送和交换学位论文。</w:t>
      </w:r>
    </w:p>
    <w:p>
      <w:pPr>
        <w:ind w:firstLine="480"/>
      </w:pPr>
      <w:r>
        <w:rPr>
          <w:rFonts w:hint="eastAsia"/>
        </w:rPr>
        <w:t>（4）学校可允许学位论文被查阅或借阅。</w:t>
      </w:r>
    </w:p>
    <w:p>
      <w:pPr>
        <w:ind w:firstLine="480"/>
      </w:pPr>
      <w:r>
        <w:rPr>
          <w:rFonts w:hint="eastAsia"/>
        </w:rPr>
        <w:t>（5）学校可以公布学位论文的全部或部分内容（保密学位论文在解密后遵守此规定）。</w:t>
      </w:r>
    </w:p>
    <w:p>
      <w:pPr>
        <w:ind w:firstLine="480"/>
      </w:pPr>
      <w:r>
        <w:rPr>
          <w:rFonts w:hint="eastAsia"/>
        </w:rPr>
        <w:t>除非另有科研合同和其他法律文书的制约，本论文的科研成果属于成都信息工程大学。</w:t>
      </w:r>
    </w:p>
    <w:p>
      <w:pPr>
        <w:ind w:firstLine="480"/>
      </w:pPr>
      <w:r>
        <w:rPr>
          <w:rFonts w:hint="eastAsia"/>
        </w:rPr>
        <w:t>特此声明！</w:t>
      </w:r>
    </w:p>
    <w:p>
      <w:pPr>
        <w:ind w:firstLine="480"/>
      </w:pPr>
    </w:p>
    <w:p>
      <w:pPr>
        <w:ind w:firstLine="480"/>
      </w:pPr>
    </w:p>
    <w:p>
      <w:pPr>
        <w:ind w:firstLine="480"/>
        <w:jc w:val="right"/>
      </w:pPr>
      <w:r>
        <w:rPr>
          <w:rFonts w:hint="eastAsia"/>
        </w:rPr>
        <w:t>作者签名：</w:t>
      </w:r>
    </w:p>
    <w:p>
      <w:pPr>
        <w:ind w:firstLine="480"/>
        <w:jc w:val="right"/>
      </w:pPr>
      <w:r>
        <w:rPr>
          <w:rFonts w:hint="eastAsia"/>
        </w:rPr>
        <w:t>20</w:t>
      </w:r>
      <w:r>
        <w:t>20</w:t>
      </w:r>
      <w:r>
        <w:rPr>
          <w:rFonts w:hint="eastAsia"/>
        </w:rPr>
        <w:t>年05月20日</w:t>
      </w:r>
    </w:p>
    <w:p>
      <w:pPr>
        <w:ind w:firstLine="480"/>
        <w:jc w:val="right"/>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ind w:firstLine="480"/>
        <w:outlineLvl w:val="2"/>
        <w:rPr>
          <w:rFonts w:ascii="宋体" w:hAnsi="宋体"/>
        </w:rPr>
      </w:pPr>
    </w:p>
    <w:p>
      <w:pPr>
        <w:keepNext/>
        <w:tabs>
          <w:tab w:val="left" w:pos="612"/>
        </w:tabs>
        <w:spacing w:afterLines="100"/>
        <w:ind w:firstLine="0" w:firstLineChars="0"/>
        <w:jc w:val="left"/>
        <w:outlineLvl w:val="0"/>
        <w:rPr>
          <w:rFonts w:ascii="宋体" w:hAnsi="宋体"/>
          <w:b/>
          <w:bCs/>
          <w:sz w:val="28"/>
          <w:szCs w:val="28"/>
        </w:rPr>
        <w:sectPr>
          <w:headerReference r:id="rId3" w:type="default"/>
          <w:footerReference r:id="rId4" w:type="default"/>
          <w:footnotePr>
            <w:numFmt w:val="decimalEnclosedCircle"/>
          </w:footnotePr>
          <w:pgSz w:w="11906" w:h="16838"/>
          <w:pgMar w:top="1440" w:right="1797" w:bottom="1440" w:left="1797" w:header="851" w:footer="992" w:gutter="0"/>
          <w:pgNumType w:start="1"/>
          <w:cols w:space="720" w:num="1"/>
          <w:rtlGutter w:val="1"/>
          <w:docGrid w:type="linesAndChars" w:linePitch="312" w:charSpace="0"/>
        </w:sectPr>
      </w:pPr>
      <w:bookmarkStart w:id="28" w:name="_Toc137206775"/>
      <w:bookmarkStart w:id="29" w:name="_Toc137205543"/>
    </w:p>
    <w:bookmarkEnd w:id="28"/>
    <w:bookmarkEnd w:id="29"/>
    <w:p>
      <w:pPr>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page" w:x="5395" w:yAlign="top"/>
      <w:ind w:firstLine="420"/>
      <w:jc w:val="center"/>
      <w:rPr>
        <w:rStyle w:val="32"/>
        <w:sz w:val="21"/>
        <w:szCs w:val="21"/>
      </w:rPr>
    </w:pPr>
    <w:r>
      <w:rPr>
        <w:rStyle w:val="32"/>
        <w:rFonts w:hint="eastAsia" w:ascii="宋体" w:hAnsi="宋体"/>
        <w:kern w:val="0"/>
        <w:sz w:val="21"/>
        <w:szCs w:val="21"/>
      </w:rPr>
      <w:t xml:space="preserve">第 </w:t>
    </w:r>
    <w:r>
      <w:rPr>
        <w:rFonts w:ascii="宋体" w:hAnsi="宋体"/>
        <w:kern w:val="0"/>
        <w:sz w:val="21"/>
        <w:szCs w:val="21"/>
      </w:rPr>
      <w:fldChar w:fldCharType="begin"/>
    </w:r>
    <w:r>
      <w:rPr>
        <w:rStyle w:val="32"/>
        <w:rFonts w:ascii="宋体" w:hAnsi="宋体"/>
        <w:kern w:val="0"/>
        <w:sz w:val="21"/>
        <w:szCs w:val="21"/>
      </w:rPr>
      <w:instrText xml:space="preserve"> PAGE </w:instrText>
    </w:r>
    <w:r>
      <w:rPr>
        <w:rFonts w:ascii="宋体" w:hAnsi="宋体"/>
        <w:kern w:val="0"/>
        <w:sz w:val="21"/>
        <w:szCs w:val="21"/>
      </w:rPr>
      <w:fldChar w:fldCharType="separate"/>
    </w:r>
    <w:r>
      <w:rPr>
        <w:rStyle w:val="32"/>
        <w:rFonts w:ascii="宋体" w:hAnsi="宋体"/>
        <w:kern w:val="0"/>
        <w:sz w:val="21"/>
        <w:szCs w:val="21"/>
      </w:rPr>
      <w:t>1</w:t>
    </w:r>
    <w:r>
      <w:rPr>
        <w:rFonts w:ascii="宋体" w:hAnsi="宋体"/>
        <w:kern w:val="0"/>
        <w:sz w:val="21"/>
        <w:szCs w:val="21"/>
      </w:rPr>
      <w:fldChar w:fldCharType="end"/>
    </w:r>
    <w:r>
      <w:rPr>
        <w:rStyle w:val="32"/>
        <w:rFonts w:hint="eastAsia" w:ascii="宋体" w:hAnsi="宋体"/>
        <w:kern w:val="0"/>
        <w:sz w:val="21"/>
        <w:szCs w:val="21"/>
      </w:rPr>
      <w:t xml:space="preserve"> 页 共 21 页</w:t>
    </w:r>
  </w:p>
  <w:p>
    <w:pPr>
      <w:pStyle w:val="1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33F"/>
    <w:multiLevelType w:val="multilevel"/>
    <w:tmpl w:val="0696533F"/>
    <w:lvl w:ilvl="0" w:tentative="0">
      <w:start w:val="1"/>
      <w:numFmt w:val="decimal"/>
      <w:pStyle w:val="2"/>
      <w:lvlText w:val="%1"/>
      <w:lvlJc w:val="left"/>
      <w:pPr>
        <w:tabs>
          <w:tab w:val="left" w:pos="612"/>
        </w:tabs>
        <w:ind w:left="612" w:hanging="432"/>
      </w:pPr>
      <w:rPr>
        <w:rFonts w:hint="eastAsia"/>
        <w:sz w:val="30"/>
        <w:szCs w:val="30"/>
      </w:rPr>
    </w:lvl>
    <w:lvl w:ilvl="1" w:tentative="0">
      <w:start w:val="1"/>
      <w:numFmt w:val="decimal"/>
      <w:pStyle w:val="3"/>
      <w:lvlText w:val="%1.%2"/>
      <w:lvlJc w:val="left"/>
      <w:pPr>
        <w:tabs>
          <w:tab w:val="left" w:pos="756"/>
        </w:tabs>
        <w:ind w:left="756" w:hanging="576"/>
      </w:pPr>
      <w:rPr>
        <w:rFonts w:hint="eastAsia" w:ascii="宋体" w:hAnsi="宋体" w:eastAsia="宋体"/>
      </w:rPr>
    </w:lvl>
    <w:lvl w:ilvl="2" w:tentative="0">
      <w:start w:val="1"/>
      <w:numFmt w:val="decimal"/>
      <w:pStyle w:val="4"/>
      <w:lvlText w:val="2.1.%3"/>
      <w:lvlJc w:val="left"/>
      <w:pPr>
        <w:tabs>
          <w:tab w:val="left" w:pos="1260"/>
        </w:tabs>
        <w:ind w:left="900" w:hanging="720"/>
      </w:pPr>
      <w:rPr>
        <w:rFonts w:hint="eastAsia" w:ascii="宋体" w:hAnsi="宋体" w:eastAsia="宋体"/>
      </w:rPr>
    </w:lvl>
    <w:lvl w:ilvl="3" w:tentative="0">
      <w:start w:val="1"/>
      <w:numFmt w:val="decimal"/>
      <w:pStyle w:val="5"/>
      <w:lvlText w:val="%1.%2.%3.%4"/>
      <w:lvlJc w:val="left"/>
      <w:pPr>
        <w:tabs>
          <w:tab w:val="left" w:pos="1044"/>
        </w:tabs>
        <w:ind w:left="1044" w:hanging="864"/>
      </w:pPr>
      <w:rPr>
        <w:rFonts w:hint="eastAsia"/>
      </w:rPr>
    </w:lvl>
    <w:lvl w:ilvl="4" w:tentative="0">
      <w:start w:val="1"/>
      <w:numFmt w:val="decimal"/>
      <w:pStyle w:val="6"/>
      <w:lvlText w:val="%1.%2.%3.%4.%5"/>
      <w:lvlJc w:val="left"/>
      <w:pPr>
        <w:tabs>
          <w:tab w:val="left" w:pos="1188"/>
        </w:tabs>
        <w:ind w:left="1188" w:hanging="1008"/>
      </w:pPr>
      <w:rPr>
        <w:rFonts w:hint="eastAsia"/>
      </w:rPr>
    </w:lvl>
    <w:lvl w:ilvl="5" w:tentative="0">
      <w:start w:val="1"/>
      <w:numFmt w:val="decimal"/>
      <w:pStyle w:val="7"/>
      <w:lvlText w:val="%1.%2.%3.%4.%5.%6"/>
      <w:lvlJc w:val="left"/>
      <w:pPr>
        <w:tabs>
          <w:tab w:val="left" w:pos="1332"/>
        </w:tabs>
        <w:ind w:left="1332" w:hanging="1152"/>
      </w:pPr>
      <w:rPr>
        <w:rFonts w:hint="eastAsia"/>
      </w:rPr>
    </w:lvl>
    <w:lvl w:ilvl="6" w:tentative="0">
      <w:start w:val="1"/>
      <w:numFmt w:val="decimal"/>
      <w:pStyle w:val="8"/>
      <w:lvlText w:val="%1.%2.%3.%4.%5.%6.%7"/>
      <w:lvlJc w:val="left"/>
      <w:pPr>
        <w:tabs>
          <w:tab w:val="left" w:pos="1476"/>
        </w:tabs>
        <w:ind w:left="1476" w:hanging="1296"/>
      </w:pPr>
      <w:rPr>
        <w:rFonts w:hint="eastAsia"/>
      </w:rPr>
    </w:lvl>
    <w:lvl w:ilvl="7" w:tentative="0">
      <w:start w:val="1"/>
      <w:numFmt w:val="decimal"/>
      <w:pStyle w:val="9"/>
      <w:lvlText w:val="%1.%2.%3.%4.%5.%6.%7.%8"/>
      <w:lvlJc w:val="left"/>
      <w:pPr>
        <w:tabs>
          <w:tab w:val="left" w:pos="1620"/>
        </w:tabs>
        <w:ind w:left="1620" w:hanging="1440"/>
      </w:pPr>
      <w:rPr>
        <w:rFonts w:hint="eastAsia"/>
      </w:rPr>
    </w:lvl>
    <w:lvl w:ilvl="8" w:tentative="0">
      <w:start w:val="1"/>
      <w:numFmt w:val="decimal"/>
      <w:pStyle w:val="10"/>
      <w:lvlText w:val="%1.%2.%3.%4.%5.%6.%7.%8.%9"/>
      <w:lvlJc w:val="left"/>
      <w:pPr>
        <w:tabs>
          <w:tab w:val="left" w:pos="1764"/>
        </w:tabs>
        <w:ind w:left="176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0E7096"/>
    <w:rsid w:val="00003028"/>
    <w:rsid w:val="00005C6F"/>
    <w:rsid w:val="00007AAC"/>
    <w:rsid w:val="00024341"/>
    <w:rsid w:val="00055679"/>
    <w:rsid w:val="0005604B"/>
    <w:rsid w:val="00057B6B"/>
    <w:rsid w:val="00057BD8"/>
    <w:rsid w:val="00064AFD"/>
    <w:rsid w:val="00066B05"/>
    <w:rsid w:val="00075ED9"/>
    <w:rsid w:val="00083977"/>
    <w:rsid w:val="00083D78"/>
    <w:rsid w:val="000915EA"/>
    <w:rsid w:val="00092968"/>
    <w:rsid w:val="00094409"/>
    <w:rsid w:val="000B309B"/>
    <w:rsid w:val="000C20B6"/>
    <w:rsid w:val="000E2347"/>
    <w:rsid w:val="000E7096"/>
    <w:rsid w:val="000E7121"/>
    <w:rsid w:val="000F6664"/>
    <w:rsid w:val="000F715C"/>
    <w:rsid w:val="001046ED"/>
    <w:rsid w:val="00110AE6"/>
    <w:rsid w:val="0011333B"/>
    <w:rsid w:val="0011515C"/>
    <w:rsid w:val="00116EE0"/>
    <w:rsid w:val="001250C9"/>
    <w:rsid w:val="00131F56"/>
    <w:rsid w:val="0013402F"/>
    <w:rsid w:val="001407CC"/>
    <w:rsid w:val="00147241"/>
    <w:rsid w:val="001729AB"/>
    <w:rsid w:val="0018730A"/>
    <w:rsid w:val="00197F69"/>
    <w:rsid w:val="00197FE1"/>
    <w:rsid w:val="001B62FC"/>
    <w:rsid w:val="001C11B5"/>
    <w:rsid w:val="001D0E4C"/>
    <w:rsid w:val="001D7A4E"/>
    <w:rsid w:val="001F531C"/>
    <w:rsid w:val="00206B96"/>
    <w:rsid w:val="00210D8C"/>
    <w:rsid w:val="00214DA2"/>
    <w:rsid w:val="00217ADC"/>
    <w:rsid w:val="00227521"/>
    <w:rsid w:val="00230686"/>
    <w:rsid w:val="0024552A"/>
    <w:rsid w:val="00245CAD"/>
    <w:rsid w:val="00256717"/>
    <w:rsid w:val="0025762C"/>
    <w:rsid w:val="0026320C"/>
    <w:rsid w:val="00267D0A"/>
    <w:rsid w:val="00292CE4"/>
    <w:rsid w:val="002A2624"/>
    <w:rsid w:val="002A2DDE"/>
    <w:rsid w:val="002B797C"/>
    <w:rsid w:val="002D1CCC"/>
    <w:rsid w:val="002E316D"/>
    <w:rsid w:val="002E3DFA"/>
    <w:rsid w:val="002F6593"/>
    <w:rsid w:val="00314150"/>
    <w:rsid w:val="00316540"/>
    <w:rsid w:val="003179A7"/>
    <w:rsid w:val="00317EA1"/>
    <w:rsid w:val="00321204"/>
    <w:rsid w:val="003260E3"/>
    <w:rsid w:val="00336467"/>
    <w:rsid w:val="003427B4"/>
    <w:rsid w:val="00344908"/>
    <w:rsid w:val="00344FC4"/>
    <w:rsid w:val="00374DD8"/>
    <w:rsid w:val="0038453C"/>
    <w:rsid w:val="00386F64"/>
    <w:rsid w:val="00390D8C"/>
    <w:rsid w:val="003A7D70"/>
    <w:rsid w:val="003B0099"/>
    <w:rsid w:val="003D2001"/>
    <w:rsid w:val="003D2DCF"/>
    <w:rsid w:val="003D3CE7"/>
    <w:rsid w:val="003D73D3"/>
    <w:rsid w:val="003E723A"/>
    <w:rsid w:val="003E7A30"/>
    <w:rsid w:val="003F0210"/>
    <w:rsid w:val="00404F01"/>
    <w:rsid w:val="004066D9"/>
    <w:rsid w:val="0041228F"/>
    <w:rsid w:val="00431195"/>
    <w:rsid w:val="0043503A"/>
    <w:rsid w:val="00435FB9"/>
    <w:rsid w:val="0045246E"/>
    <w:rsid w:val="00461D1C"/>
    <w:rsid w:val="00462181"/>
    <w:rsid w:val="00485EF2"/>
    <w:rsid w:val="004A0A6D"/>
    <w:rsid w:val="004A4E28"/>
    <w:rsid w:val="004A5602"/>
    <w:rsid w:val="004B199C"/>
    <w:rsid w:val="004B311B"/>
    <w:rsid w:val="004C70FD"/>
    <w:rsid w:val="004C7884"/>
    <w:rsid w:val="004C7E15"/>
    <w:rsid w:val="004E4467"/>
    <w:rsid w:val="00501E7E"/>
    <w:rsid w:val="0050392C"/>
    <w:rsid w:val="005115F9"/>
    <w:rsid w:val="005317F2"/>
    <w:rsid w:val="005324F9"/>
    <w:rsid w:val="00552C1C"/>
    <w:rsid w:val="00571008"/>
    <w:rsid w:val="0057134C"/>
    <w:rsid w:val="005B6C3F"/>
    <w:rsid w:val="005D78BE"/>
    <w:rsid w:val="005E5C38"/>
    <w:rsid w:val="005E6C41"/>
    <w:rsid w:val="005F5D05"/>
    <w:rsid w:val="005F783B"/>
    <w:rsid w:val="005F78C7"/>
    <w:rsid w:val="00626FD9"/>
    <w:rsid w:val="00652BCD"/>
    <w:rsid w:val="00652DFB"/>
    <w:rsid w:val="00660476"/>
    <w:rsid w:val="00661CA9"/>
    <w:rsid w:val="00663325"/>
    <w:rsid w:val="006652C3"/>
    <w:rsid w:val="00666691"/>
    <w:rsid w:val="00672BFD"/>
    <w:rsid w:val="00677117"/>
    <w:rsid w:val="00686113"/>
    <w:rsid w:val="0069010F"/>
    <w:rsid w:val="006946D2"/>
    <w:rsid w:val="00696651"/>
    <w:rsid w:val="006A09FB"/>
    <w:rsid w:val="006A68F0"/>
    <w:rsid w:val="006B2603"/>
    <w:rsid w:val="006C3E07"/>
    <w:rsid w:val="006C46E0"/>
    <w:rsid w:val="006F0B76"/>
    <w:rsid w:val="006F296F"/>
    <w:rsid w:val="00701ACA"/>
    <w:rsid w:val="0070309A"/>
    <w:rsid w:val="00706C23"/>
    <w:rsid w:val="00721DE1"/>
    <w:rsid w:val="0072378D"/>
    <w:rsid w:val="0073094D"/>
    <w:rsid w:val="00736653"/>
    <w:rsid w:val="007453AC"/>
    <w:rsid w:val="00753D7C"/>
    <w:rsid w:val="00755813"/>
    <w:rsid w:val="00765874"/>
    <w:rsid w:val="0077111B"/>
    <w:rsid w:val="0077357E"/>
    <w:rsid w:val="007771F9"/>
    <w:rsid w:val="00777A85"/>
    <w:rsid w:val="0078521C"/>
    <w:rsid w:val="007B2173"/>
    <w:rsid w:val="007B7667"/>
    <w:rsid w:val="007C6A97"/>
    <w:rsid w:val="007E307E"/>
    <w:rsid w:val="007E30CA"/>
    <w:rsid w:val="007E7492"/>
    <w:rsid w:val="008117F0"/>
    <w:rsid w:val="00811E74"/>
    <w:rsid w:val="00831091"/>
    <w:rsid w:val="0083419D"/>
    <w:rsid w:val="0083439F"/>
    <w:rsid w:val="00845F1B"/>
    <w:rsid w:val="00850782"/>
    <w:rsid w:val="00862F66"/>
    <w:rsid w:val="00867FA3"/>
    <w:rsid w:val="00871945"/>
    <w:rsid w:val="0088402A"/>
    <w:rsid w:val="008A40CE"/>
    <w:rsid w:val="008B4F1C"/>
    <w:rsid w:val="008C16D8"/>
    <w:rsid w:val="008C6497"/>
    <w:rsid w:val="008D680F"/>
    <w:rsid w:val="00911F43"/>
    <w:rsid w:val="009178DC"/>
    <w:rsid w:val="009255E2"/>
    <w:rsid w:val="009322E0"/>
    <w:rsid w:val="0094213D"/>
    <w:rsid w:val="00946CE2"/>
    <w:rsid w:val="00950F67"/>
    <w:rsid w:val="00961201"/>
    <w:rsid w:val="009635E8"/>
    <w:rsid w:val="00976A0C"/>
    <w:rsid w:val="009854B7"/>
    <w:rsid w:val="00987ACE"/>
    <w:rsid w:val="00996A47"/>
    <w:rsid w:val="009A5081"/>
    <w:rsid w:val="009F5CE0"/>
    <w:rsid w:val="00A00199"/>
    <w:rsid w:val="00A217BD"/>
    <w:rsid w:val="00A24099"/>
    <w:rsid w:val="00A334EF"/>
    <w:rsid w:val="00A50388"/>
    <w:rsid w:val="00A652DB"/>
    <w:rsid w:val="00A74902"/>
    <w:rsid w:val="00A76362"/>
    <w:rsid w:val="00A81FE4"/>
    <w:rsid w:val="00A96B42"/>
    <w:rsid w:val="00AA4660"/>
    <w:rsid w:val="00AC1382"/>
    <w:rsid w:val="00AC37D3"/>
    <w:rsid w:val="00AD5466"/>
    <w:rsid w:val="00AE6F57"/>
    <w:rsid w:val="00B104D1"/>
    <w:rsid w:val="00B1551A"/>
    <w:rsid w:val="00B16B7A"/>
    <w:rsid w:val="00B173FA"/>
    <w:rsid w:val="00B23253"/>
    <w:rsid w:val="00B739FA"/>
    <w:rsid w:val="00B83D50"/>
    <w:rsid w:val="00BD366E"/>
    <w:rsid w:val="00BE37A0"/>
    <w:rsid w:val="00BE3F6F"/>
    <w:rsid w:val="00BF5A7D"/>
    <w:rsid w:val="00C175BA"/>
    <w:rsid w:val="00C414AC"/>
    <w:rsid w:val="00C41A30"/>
    <w:rsid w:val="00C53388"/>
    <w:rsid w:val="00C64FE4"/>
    <w:rsid w:val="00C76FAE"/>
    <w:rsid w:val="00C9759E"/>
    <w:rsid w:val="00CA3496"/>
    <w:rsid w:val="00CB15C3"/>
    <w:rsid w:val="00CB79A4"/>
    <w:rsid w:val="00CC3B66"/>
    <w:rsid w:val="00CC61B1"/>
    <w:rsid w:val="00CC6DCA"/>
    <w:rsid w:val="00D03FFD"/>
    <w:rsid w:val="00D31EC4"/>
    <w:rsid w:val="00D328A2"/>
    <w:rsid w:val="00D36E9E"/>
    <w:rsid w:val="00D41126"/>
    <w:rsid w:val="00D42F5C"/>
    <w:rsid w:val="00D55589"/>
    <w:rsid w:val="00D641CE"/>
    <w:rsid w:val="00D7223C"/>
    <w:rsid w:val="00D73BA9"/>
    <w:rsid w:val="00D836E4"/>
    <w:rsid w:val="00D86BEB"/>
    <w:rsid w:val="00D91868"/>
    <w:rsid w:val="00D92B67"/>
    <w:rsid w:val="00D93FE5"/>
    <w:rsid w:val="00DA13BB"/>
    <w:rsid w:val="00DA1728"/>
    <w:rsid w:val="00DA2EDA"/>
    <w:rsid w:val="00DA4FEE"/>
    <w:rsid w:val="00DB4835"/>
    <w:rsid w:val="00DE4F19"/>
    <w:rsid w:val="00DE5D5A"/>
    <w:rsid w:val="00DF5905"/>
    <w:rsid w:val="00E01111"/>
    <w:rsid w:val="00E015E1"/>
    <w:rsid w:val="00E1057C"/>
    <w:rsid w:val="00E130D4"/>
    <w:rsid w:val="00E16999"/>
    <w:rsid w:val="00E329A0"/>
    <w:rsid w:val="00E43EFB"/>
    <w:rsid w:val="00E44D0D"/>
    <w:rsid w:val="00E47FF2"/>
    <w:rsid w:val="00E52897"/>
    <w:rsid w:val="00E70F3B"/>
    <w:rsid w:val="00E812D4"/>
    <w:rsid w:val="00E87473"/>
    <w:rsid w:val="00EB1B5D"/>
    <w:rsid w:val="00EB3C38"/>
    <w:rsid w:val="00ED268F"/>
    <w:rsid w:val="00ED29A8"/>
    <w:rsid w:val="00ED3522"/>
    <w:rsid w:val="00EE1074"/>
    <w:rsid w:val="00EE2DD5"/>
    <w:rsid w:val="00EE4374"/>
    <w:rsid w:val="00F05767"/>
    <w:rsid w:val="00F129B5"/>
    <w:rsid w:val="00F24721"/>
    <w:rsid w:val="00F26064"/>
    <w:rsid w:val="00F265EE"/>
    <w:rsid w:val="00F44287"/>
    <w:rsid w:val="00F62043"/>
    <w:rsid w:val="00F62F40"/>
    <w:rsid w:val="00F81F11"/>
    <w:rsid w:val="00F96403"/>
    <w:rsid w:val="00FA08F7"/>
    <w:rsid w:val="00FA0AC3"/>
    <w:rsid w:val="00FA3AC6"/>
    <w:rsid w:val="00FB4A35"/>
    <w:rsid w:val="00FD42D0"/>
    <w:rsid w:val="00FE6338"/>
    <w:rsid w:val="21A52AAE"/>
    <w:rsid w:val="58681D14"/>
    <w:rsid w:val="589C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nhideWhenUsed="0" w:uiPriority="0"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4"/>
    <w:qFormat/>
    <w:uiPriority w:val="0"/>
    <w:pPr>
      <w:keepNext/>
      <w:numPr>
        <w:ilvl w:val="0"/>
        <w:numId w:val="1"/>
      </w:numPr>
      <w:spacing w:beforeLines="100" w:line="240" w:lineRule="auto"/>
      <w:ind w:firstLine="0" w:firstLineChars="0"/>
      <w:jc w:val="left"/>
      <w:outlineLvl w:val="0"/>
    </w:pPr>
    <w:rPr>
      <w:rFonts w:ascii="宋体" w:hAnsi="宋体"/>
      <w:b/>
      <w:bCs/>
      <w:sz w:val="30"/>
    </w:rPr>
  </w:style>
  <w:style w:type="paragraph" w:styleId="3">
    <w:name w:val="heading 2"/>
    <w:basedOn w:val="1"/>
    <w:next w:val="1"/>
    <w:link w:val="35"/>
    <w:qFormat/>
    <w:uiPriority w:val="0"/>
    <w:pPr>
      <w:keepNext/>
      <w:keepLines/>
      <w:numPr>
        <w:ilvl w:val="1"/>
        <w:numId w:val="1"/>
      </w:numPr>
      <w:tabs>
        <w:tab w:val="left" w:pos="612"/>
      </w:tabs>
      <w:ind w:left="754" w:firstLine="100" w:firstLineChars="100"/>
      <w:outlineLvl w:val="1"/>
    </w:pPr>
    <w:rPr>
      <w:rFonts w:ascii="Arial" w:hAnsi="Arial"/>
      <w:b/>
      <w:bCs/>
      <w:sz w:val="28"/>
      <w:szCs w:val="32"/>
    </w:rPr>
  </w:style>
  <w:style w:type="paragraph" w:styleId="4">
    <w:name w:val="heading 3"/>
    <w:basedOn w:val="1"/>
    <w:next w:val="1"/>
    <w:link w:val="36"/>
    <w:qFormat/>
    <w:uiPriority w:val="0"/>
    <w:pPr>
      <w:keepNext/>
      <w:keepLines/>
      <w:numPr>
        <w:ilvl w:val="2"/>
        <w:numId w:val="1"/>
      </w:numPr>
      <w:tabs>
        <w:tab w:val="left" w:pos="612"/>
      </w:tabs>
      <w:ind w:firstLine="0" w:firstLineChars="0"/>
      <w:outlineLvl w:val="2"/>
    </w:pPr>
    <w:rPr>
      <w:b/>
      <w:bCs/>
      <w:szCs w:val="32"/>
    </w:rPr>
  </w:style>
  <w:style w:type="paragraph" w:styleId="5">
    <w:name w:val="heading 4"/>
    <w:basedOn w:val="1"/>
    <w:next w:val="1"/>
    <w:link w:val="37"/>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9"/>
    <w:qFormat/>
    <w:uiPriority w:val="0"/>
    <w:pPr>
      <w:keepNext/>
      <w:keepLines/>
      <w:numPr>
        <w:ilvl w:val="5"/>
        <w:numId w:val="1"/>
      </w:numPr>
      <w:spacing w:before="240" w:after="64" w:line="320" w:lineRule="auto"/>
      <w:outlineLvl w:val="5"/>
    </w:pPr>
    <w:rPr>
      <w:rFonts w:ascii="Arial" w:hAnsi="Arial" w:eastAsia="黑体"/>
      <w:b/>
      <w:bCs/>
    </w:rPr>
  </w:style>
  <w:style w:type="paragraph" w:styleId="8">
    <w:name w:val="heading 7"/>
    <w:basedOn w:val="1"/>
    <w:next w:val="1"/>
    <w:link w:val="40"/>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41"/>
    <w:qFormat/>
    <w:uiPriority w:val="0"/>
    <w:pPr>
      <w:keepNext/>
      <w:keepLines/>
      <w:numPr>
        <w:ilvl w:val="7"/>
        <w:numId w:val="1"/>
      </w:numPr>
      <w:spacing w:before="240" w:after="64" w:line="320" w:lineRule="auto"/>
      <w:outlineLvl w:val="7"/>
    </w:pPr>
    <w:rPr>
      <w:rFonts w:ascii="Arial" w:hAnsi="Arial" w:eastAsia="黑体"/>
    </w:rPr>
  </w:style>
  <w:style w:type="paragraph" w:styleId="10">
    <w:name w:val="heading 9"/>
    <w:basedOn w:val="1"/>
    <w:next w:val="1"/>
    <w:link w:val="4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Document Map"/>
    <w:basedOn w:val="1"/>
    <w:link w:val="50"/>
    <w:semiHidden/>
    <w:qFormat/>
    <w:uiPriority w:val="0"/>
    <w:pPr>
      <w:shd w:val="clear" w:color="auto" w:fill="000080"/>
    </w:pPr>
  </w:style>
  <w:style w:type="paragraph" w:styleId="13">
    <w:name w:val="annotation text"/>
    <w:basedOn w:val="1"/>
    <w:link w:val="51"/>
    <w:semiHidden/>
    <w:qFormat/>
    <w:uiPriority w:val="0"/>
    <w:pPr>
      <w:jc w:val="left"/>
    </w:pPr>
  </w:style>
  <w:style w:type="paragraph" w:styleId="14">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5">
    <w:name w:val="toc 3"/>
    <w:basedOn w:val="1"/>
    <w:next w:val="1"/>
    <w:unhideWhenUsed/>
    <w:qFormat/>
    <w:uiPriority w:val="39"/>
    <w:pPr>
      <w:ind w:left="840" w:leftChars="400"/>
    </w:pPr>
  </w:style>
  <w:style w:type="paragraph" w:styleId="16">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7">
    <w:name w:val="Date"/>
    <w:basedOn w:val="1"/>
    <w:next w:val="1"/>
    <w:link w:val="62"/>
    <w:semiHidden/>
    <w:unhideWhenUsed/>
    <w:uiPriority w:val="99"/>
    <w:pPr>
      <w:ind w:left="100" w:leftChars="2500"/>
    </w:pPr>
  </w:style>
  <w:style w:type="paragraph" w:styleId="18">
    <w:name w:val="Balloon Text"/>
    <w:basedOn w:val="1"/>
    <w:link w:val="49"/>
    <w:semiHidden/>
    <w:qFormat/>
    <w:uiPriority w:val="0"/>
    <w:rPr>
      <w:sz w:val="18"/>
      <w:szCs w:val="18"/>
    </w:rPr>
  </w:style>
  <w:style w:type="paragraph" w:styleId="19">
    <w:name w:val="footer"/>
    <w:basedOn w:val="1"/>
    <w:link w:val="44"/>
    <w:unhideWhenUsed/>
    <w:qFormat/>
    <w:uiPriority w:val="0"/>
    <w:pPr>
      <w:tabs>
        <w:tab w:val="center" w:pos="4153"/>
        <w:tab w:val="right" w:pos="8306"/>
      </w:tabs>
      <w:snapToGrid w:val="0"/>
      <w:jc w:val="left"/>
    </w:pPr>
    <w:rPr>
      <w:sz w:val="18"/>
      <w:szCs w:val="18"/>
    </w:rPr>
  </w:style>
  <w:style w:type="paragraph" w:styleId="20">
    <w:name w:val="header"/>
    <w:basedOn w:val="1"/>
    <w:link w:val="43"/>
    <w:unhideWhenUsed/>
    <w:qFormat/>
    <w:uiPriority w:val="99"/>
    <w:pP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b/>
      <w:bCs/>
      <w:caps/>
      <w:sz w:val="20"/>
      <w:szCs w:val="20"/>
    </w:rPr>
  </w:style>
  <w:style w:type="paragraph" w:styleId="22">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3">
    <w:name w:val="footnote text"/>
    <w:basedOn w:val="1"/>
    <w:link w:val="47"/>
    <w:semiHidden/>
    <w:uiPriority w:val="0"/>
    <w:pPr>
      <w:snapToGrid w:val="0"/>
      <w:jc w:val="left"/>
    </w:pPr>
    <w:rPr>
      <w:sz w:val="18"/>
      <w:szCs w:val="18"/>
    </w:rPr>
  </w:style>
  <w:style w:type="paragraph" w:styleId="24">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5">
    <w:name w:val="toc 2"/>
    <w:basedOn w:val="1"/>
    <w:next w:val="1"/>
    <w:unhideWhenUsed/>
    <w:qFormat/>
    <w:uiPriority w:val="39"/>
    <w:pPr>
      <w:ind w:left="420" w:leftChars="200"/>
    </w:pPr>
  </w:style>
  <w:style w:type="paragraph" w:styleId="26">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7">
    <w:name w:val="annotation subject"/>
    <w:basedOn w:val="13"/>
    <w:next w:val="13"/>
    <w:link w:val="52"/>
    <w:semiHidden/>
    <w:qFormat/>
    <w:uiPriority w:val="0"/>
    <w:rPr>
      <w:b/>
      <w:bCs/>
    </w:rPr>
  </w:style>
  <w:style w:type="table" w:styleId="29">
    <w:name w:val="Table Grid"/>
    <w:basedOn w:val="2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Hyperlink"/>
    <w:qFormat/>
    <w:uiPriority w:val="99"/>
    <w:rPr>
      <w:color w:val="000066"/>
      <w:u w:val="none"/>
    </w:rPr>
  </w:style>
  <w:style w:type="character" w:customStyle="1" w:styleId="34">
    <w:name w:val="标题 1 Char"/>
    <w:basedOn w:val="30"/>
    <w:link w:val="2"/>
    <w:qFormat/>
    <w:uiPriority w:val="0"/>
    <w:rPr>
      <w:rFonts w:ascii="宋体" w:hAnsi="宋体"/>
      <w:b/>
      <w:bCs/>
      <w:kern w:val="2"/>
      <w:sz w:val="30"/>
      <w:szCs w:val="24"/>
    </w:rPr>
  </w:style>
  <w:style w:type="character" w:customStyle="1" w:styleId="35">
    <w:name w:val="标题 2 Char"/>
    <w:basedOn w:val="30"/>
    <w:link w:val="3"/>
    <w:qFormat/>
    <w:uiPriority w:val="0"/>
    <w:rPr>
      <w:rFonts w:ascii="Arial" w:hAnsi="Arial"/>
      <w:b/>
      <w:bCs/>
      <w:kern w:val="2"/>
      <w:sz w:val="28"/>
      <w:szCs w:val="32"/>
    </w:rPr>
  </w:style>
  <w:style w:type="character" w:customStyle="1" w:styleId="36">
    <w:name w:val="标题 3 Char"/>
    <w:basedOn w:val="30"/>
    <w:link w:val="4"/>
    <w:qFormat/>
    <w:uiPriority w:val="0"/>
    <w:rPr>
      <w:rFonts w:ascii="Times New Roman" w:hAnsi="Times New Roman" w:eastAsia="宋体" w:cs="Times New Roman"/>
      <w:b/>
      <w:bCs/>
      <w:sz w:val="24"/>
      <w:szCs w:val="32"/>
    </w:rPr>
  </w:style>
  <w:style w:type="character" w:customStyle="1" w:styleId="37">
    <w:name w:val="标题 4 Char"/>
    <w:basedOn w:val="30"/>
    <w:link w:val="5"/>
    <w:qFormat/>
    <w:uiPriority w:val="0"/>
    <w:rPr>
      <w:rFonts w:ascii="Arial" w:hAnsi="Arial" w:eastAsia="黑体" w:cs="Times New Roman"/>
      <w:b/>
      <w:bCs/>
      <w:sz w:val="28"/>
      <w:szCs w:val="28"/>
    </w:rPr>
  </w:style>
  <w:style w:type="character" w:customStyle="1" w:styleId="38">
    <w:name w:val="标题 5 Char"/>
    <w:basedOn w:val="30"/>
    <w:link w:val="6"/>
    <w:qFormat/>
    <w:uiPriority w:val="0"/>
    <w:rPr>
      <w:rFonts w:ascii="Times New Roman" w:hAnsi="Times New Roman" w:eastAsia="宋体" w:cs="Times New Roman"/>
      <w:b/>
      <w:bCs/>
      <w:sz w:val="28"/>
      <w:szCs w:val="28"/>
    </w:rPr>
  </w:style>
  <w:style w:type="character" w:customStyle="1" w:styleId="39">
    <w:name w:val="标题 6 Char"/>
    <w:basedOn w:val="30"/>
    <w:link w:val="7"/>
    <w:qFormat/>
    <w:uiPriority w:val="0"/>
    <w:rPr>
      <w:rFonts w:ascii="Arial" w:hAnsi="Arial" w:eastAsia="黑体" w:cs="Times New Roman"/>
      <w:b/>
      <w:bCs/>
      <w:sz w:val="24"/>
      <w:szCs w:val="24"/>
    </w:rPr>
  </w:style>
  <w:style w:type="character" w:customStyle="1" w:styleId="40">
    <w:name w:val="标题 7 Char"/>
    <w:basedOn w:val="30"/>
    <w:link w:val="8"/>
    <w:qFormat/>
    <w:uiPriority w:val="0"/>
    <w:rPr>
      <w:rFonts w:ascii="Times New Roman" w:hAnsi="Times New Roman" w:eastAsia="宋体" w:cs="Times New Roman"/>
      <w:b/>
      <w:bCs/>
      <w:sz w:val="24"/>
      <w:szCs w:val="24"/>
    </w:rPr>
  </w:style>
  <w:style w:type="character" w:customStyle="1" w:styleId="41">
    <w:name w:val="标题 8 Char"/>
    <w:basedOn w:val="30"/>
    <w:link w:val="9"/>
    <w:qFormat/>
    <w:uiPriority w:val="0"/>
    <w:rPr>
      <w:rFonts w:ascii="Arial" w:hAnsi="Arial" w:eastAsia="黑体" w:cs="Times New Roman"/>
      <w:sz w:val="24"/>
      <w:szCs w:val="24"/>
    </w:rPr>
  </w:style>
  <w:style w:type="character" w:customStyle="1" w:styleId="42">
    <w:name w:val="标题 9 Char"/>
    <w:basedOn w:val="30"/>
    <w:link w:val="10"/>
    <w:qFormat/>
    <w:uiPriority w:val="0"/>
    <w:rPr>
      <w:rFonts w:ascii="Arial" w:hAnsi="Arial" w:eastAsia="黑体" w:cs="Times New Roman"/>
      <w:szCs w:val="21"/>
    </w:rPr>
  </w:style>
  <w:style w:type="character" w:customStyle="1" w:styleId="43">
    <w:name w:val="页眉 Char"/>
    <w:basedOn w:val="30"/>
    <w:link w:val="20"/>
    <w:qFormat/>
    <w:uiPriority w:val="99"/>
    <w:rPr>
      <w:rFonts w:ascii="Times New Roman" w:hAnsi="Times New Roman" w:eastAsia="宋体" w:cs="Times New Roman"/>
      <w:sz w:val="18"/>
      <w:szCs w:val="18"/>
    </w:rPr>
  </w:style>
  <w:style w:type="character" w:customStyle="1" w:styleId="44">
    <w:name w:val="页脚 Char"/>
    <w:basedOn w:val="30"/>
    <w:link w:val="19"/>
    <w:qFormat/>
    <w:uiPriority w:val="99"/>
    <w:rPr>
      <w:sz w:val="18"/>
      <w:szCs w:val="18"/>
    </w:rPr>
  </w:style>
  <w:style w:type="character" w:customStyle="1" w:styleId="45">
    <w:name w:val="样式1 Char"/>
    <w:qFormat/>
    <w:uiPriority w:val="0"/>
    <w:rPr>
      <w:rFonts w:ascii="宋体" w:hAnsi="宋体" w:eastAsia="宋体"/>
      <w:b/>
      <w:bCs/>
      <w:kern w:val="2"/>
      <w:sz w:val="24"/>
      <w:szCs w:val="24"/>
      <w:lang w:val="en-US" w:eastAsia="zh-CN" w:bidi="ar-SA"/>
    </w:rPr>
  </w:style>
  <w:style w:type="paragraph" w:customStyle="1" w:styleId="46">
    <w:name w:val="style2"/>
    <w:basedOn w:val="1"/>
    <w:qFormat/>
    <w:uiPriority w:val="0"/>
    <w:pPr>
      <w:widowControl/>
      <w:spacing w:before="100" w:beforeAutospacing="1" w:after="100" w:afterAutospacing="1"/>
      <w:jc w:val="left"/>
    </w:pPr>
    <w:rPr>
      <w:rFonts w:ascii="宋体" w:hAnsi="宋体" w:cs="宋体"/>
      <w:kern w:val="0"/>
    </w:rPr>
  </w:style>
  <w:style w:type="character" w:customStyle="1" w:styleId="47">
    <w:name w:val="脚注文本 Char"/>
    <w:basedOn w:val="30"/>
    <w:link w:val="23"/>
    <w:semiHidden/>
    <w:qFormat/>
    <w:uiPriority w:val="0"/>
    <w:rPr>
      <w:rFonts w:ascii="Times New Roman" w:hAnsi="Times New Roman" w:eastAsia="宋体" w:cs="Times New Roman"/>
      <w:sz w:val="18"/>
      <w:szCs w:val="18"/>
    </w:rPr>
  </w:style>
  <w:style w:type="paragraph" w:customStyle="1" w:styleId="48">
    <w:name w:val="标题4"/>
    <w:basedOn w:val="1"/>
    <w:next w:val="1"/>
    <w:uiPriority w:val="0"/>
    <w:pPr>
      <w:jc w:val="center"/>
    </w:pPr>
    <w:rPr>
      <w:rFonts w:ascii="宋体" w:hAnsi="宋体"/>
      <w:b/>
      <w:sz w:val="32"/>
      <w:szCs w:val="32"/>
    </w:rPr>
  </w:style>
  <w:style w:type="character" w:customStyle="1" w:styleId="49">
    <w:name w:val="批注框文本 Char"/>
    <w:basedOn w:val="30"/>
    <w:link w:val="18"/>
    <w:semiHidden/>
    <w:qFormat/>
    <w:uiPriority w:val="0"/>
    <w:rPr>
      <w:rFonts w:ascii="Times New Roman" w:hAnsi="Times New Roman" w:eastAsia="宋体" w:cs="Times New Roman"/>
      <w:sz w:val="18"/>
      <w:szCs w:val="18"/>
    </w:rPr>
  </w:style>
  <w:style w:type="character" w:customStyle="1" w:styleId="50">
    <w:name w:val="文档结构图 Char"/>
    <w:basedOn w:val="30"/>
    <w:link w:val="12"/>
    <w:semiHidden/>
    <w:qFormat/>
    <w:uiPriority w:val="0"/>
    <w:rPr>
      <w:rFonts w:ascii="Times New Roman" w:hAnsi="Times New Roman" w:eastAsia="宋体" w:cs="Times New Roman"/>
      <w:szCs w:val="24"/>
      <w:shd w:val="clear" w:color="auto" w:fill="000080"/>
    </w:rPr>
  </w:style>
  <w:style w:type="character" w:customStyle="1" w:styleId="51">
    <w:name w:val="批注文字 Char"/>
    <w:basedOn w:val="30"/>
    <w:link w:val="13"/>
    <w:semiHidden/>
    <w:qFormat/>
    <w:uiPriority w:val="0"/>
    <w:rPr>
      <w:rFonts w:ascii="Times New Roman" w:hAnsi="Times New Roman" w:eastAsia="宋体" w:cs="Times New Roman"/>
      <w:szCs w:val="24"/>
    </w:rPr>
  </w:style>
  <w:style w:type="character" w:customStyle="1" w:styleId="52">
    <w:name w:val="批注主题 Char"/>
    <w:basedOn w:val="51"/>
    <w:link w:val="27"/>
    <w:semiHidden/>
    <w:qFormat/>
    <w:uiPriority w:val="0"/>
    <w:rPr>
      <w:rFonts w:ascii="Times New Roman" w:hAnsi="Times New Roman" w:eastAsia="宋体" w:cs="Times New Roman"/>
      <w:b/>
      <w:bCs/>
      <w:szCs w:val="24"/>
    </w:rPr>
  </w:style>
  <w:style w:type="paragraph" w:customStyle="1" w:styleId="53">
    <w:name w:val="样式1"/>
    <w:basedOn w:val="1"/>
    <w:next w:val="6"/>
    <w:qFormat/>
    <w:uiPriority w:val="0"/>
    <w:pPr>
      <w:tabs>
        <w:tab w:val="left" w:pos="1440"/>
      </w:tabs>
      <w:ind w:right="206" w:rightChars="98"/>
    </w:pPr>
    <w:rPr>
      <w:rFonts w:ascii="宋体" w:hAnsi="宋体"/>
      <w:b/>
      <w:bCs/>
    </w:rPr>
  </w:style>
  <w:style w:type="table" w:customStyle="1" w:styleId="54">
    <w:name w:val="网格表 5 深色 - 着色 11"/>
    <w:basedOn w:val="2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55">
    <w:name w:val="网格表 5 深色 - 着色 51"/>
    <w:basedOn w:val="2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56">
    <w:name w:val="网格表 1 浅色 - 着色 11"/>
    <w:basedOn w:val="28"/>
    <w:qFormat/>
    <w:uiPriority w:val="46"/>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CellMar>
        <w:top w:w="0" w:type="dxa"/>
        <w:left w:w="108" w:type="dxa"/>
        <w:bottom w:w="0" w:type="dxa"/>
        <w:right w:w="108" w:type="dxa"/>
      </w:tblCellMar>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table" w:customStyle="1" w:styleId="57">
    <w:name w:val="无格式表格 11"/>
    <w:basedOn w:val="2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58">
    <w:name w:val="TOC 标题1"/>
    <w:basedOn w:val="2"/>
    <w:next w:val="1"/>
    <w:unhideWhenUsed/>
    <w:qFormat/>
    <w:uiPriority w:val="39"/>
    <w:pPr>
      <w:keepLines/>
      <w:widowControl/>
      <w:numPr>
        <w:numId w:val="0"/>
      </w:numPr>
      <w:spacing w:before="240" w:line="259" w:lineRule="auto"/>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59">
    <w:name w:val="未处理的提及1"/>
    <w:basedOn w:val="30"/>
    <w:unhideWhenUsed/>
    <w:qFormat/>
    <w:uiPriority w:val="99"/>
    <w:rPr>
      <w:color w:val="605E5C"/>
      <w:shd w:val="clear" w:color="auto" w:fill="E1DFDD"/>
    </w:rPr>
  </w:style>
  <w:style w:type="paragraph" w:styleId="60">
    <w:name w:val="List Paragraph"/>
    <w:basedOn w:val="1"/>
    <w:unhideWhenUsed/>
    <w:uiPriority w:val="99"/>
    <w:pPr>
      <w:ind w:firstLine="420"/>
    </w:pPr>
  </w:style>
  <w:style w:type="paragraph" w:customStyle="1" w:styleId="61">
    <w:name w:val="TOC Heading"/>
    <w:basedOn w:val="2"/>
    <w:next w:val="1"/>
    <w:unhideWhenUsed/>
    <w:qFormat/>
    <w:uiPriority w:val="39"/>
    <w:pPr>
      <w:keepLines/>
      <w:widowControl/>
      <w:numPr>
        <w:numId w:val="0"/>
      </w:numPr>
      <w:tabs>
        <w:tab w:val="clear" w:pos="612"/>
      </w:tabs>
      <w:spacing w:beforeLines="0" w:line="259" w:lineRule="auto"/>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62">
    <w:name w:val="日期 Char"/>
    <w:basedOn w:val="30"/>
    <w:link w:val="17"/>
    <w:semiHidden/>
    <w:uiPriority w:val="99"/>
    <w:rPr>
      <w:kern w:val="2"/>
      <w:sz w:val="24"/>
      <w:szCs w:val="24"/>
    </w:rPr>
  </w:style>
  <w:style w:type="table" w:customStyle="1" w:styleId="63">
    <w:name w:val="网格表 1 浅色 - 着色 12"/>
    <w:basedOn w:val="28"/>
    <w:uiPriority w:val="46"/>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CellMar>
        <w:top w:w="0" w:type="dxa"/>
        <w:left w:w="108" w:type="dxa"/>
        <w:bottom w:w="0" w:type="dxa"/>
        <w:right w:w="108" w:type="dxa"/>
      </w:tblCellMar>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table" w:customStyle="1" w:styleId="64">
    <w:name w:val="无格式表格 31"/>
    <w:basedOn w:val="28"/>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65">
    <w:name w:val="无格式表格 41"/>
    <w:basedOn w:val="28"/>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6B65C-9DFB-4EB7-812A-F4191BEC6A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3177</Words>
  <Characters>3460</Characters>
  <Lines>264</Lines>
  <Paragraphs>125</Paragraphs>
  <TotalTime>2</TotalTime>
  <ScaleCrop>false</ScaleCrop>
  <LinksUpToDate>false</LinksUpToDate>
  <CharactersWithSpaces>3546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2020-05-16T04:13:00Z</dcterms:created>
  <dc:creator>胡章lin</dc:creator>
  <cp:lastModifiedBy>think</cp:lastModifiedBy>
  <dcterms:modified xsi:type="dcterms:W3CDTF">2020-05-27T07:56:17Z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