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sz w:val="30"/>
          <w:szCs w:val="30"/>
          <w:lang w:val="en-US" w:eastAsia="zh-CN"/>
        </w:rPr>
      </w:pPr>
      <w:r>
        <w:rPr>
          <w:rFonts w:hint="eastAsia"/>
          <w:sz w:val="30"/>
          <w:szCs w:val="30"/>
          <w:lang w:val="en-US" w:eastAsia="zh-CN"/>
        </w:rPr>
        <w:t xml:space="preserve">收刊地址：收刊地址:四川省泸州市西南医科大学城北校区  </w:t>
      </w:r>
    </w:p>
    <w:p>
      <w:pPr>
        <w:rPr>
          <w:rFonts w:hint="eastAsia"/>
          <w:sz w:val="30"/>
          <w:szCs w:val="30"/>
          <w:lang w:val="en-US" w:eastAsia="zh-CN"/>
        </w:rPr>
      </w:pPr>
      <w:r>
        <w:rPr>
          <w:rFonts w:hint="eastAsia"/>
          <w:sz w:val="30"/>
          <w:szCs w:val="30"/>
          <w:lang w:val="en-US" w:eastAsia="zh-CN"/>
        </w:rPr>
        <w:t>收件人：唐小玲，电话15183030027</w:t>
      </w:r>
    </w:p>
    <w:p>
      <w:pPr>
        <w:rPr>
          <w:rFonts w:hint="default"/>
          <w:sz w:val="30"/>
          <w:szCs w:val="30"/>
          <w:lang w:val="en-US" w:eastAsia="zh-CN"/>
        </w:rPr>
      </w:pPr>
      <w:r>
        <w:rPr>
          <w:rFonts w:hint="eastAsia"/>
        </w:rPr>
        <w:t>邮箱：</w:t>
      </w:r>
      <w:r>
        <w:fldChar w:fldCharType="begin"/>
      </w:r>
      <w:r>
        <w:instrText xml:space="preserve"> HYPERLINK "mailto:1757684093@qq.com" </w:instrText>
      </w:r>
      <w:r>
        <w:fldChar w:fldCharType="separate"/>
      </w:r>
      <w:r>
        <w:rPr>
          <w:rStyle w:val="12"/>
          <w:rFonts w:hint="eastAsia"/>
        </w:rPr>
        <w:t>1757684093@qq.com</w:t>
      </w:r>
      <w:r>
        <w:rPr>
          <w:rStyle w:val="12"/>
          <w:rFonts w:hint="eastAsia"/>
        </w:rPr>
        <w:fldChar w:fldCharType="end"/>
      </w:r>
      <w:r>
        <w:rPr>
          <w:rFonts w:hint="eastAsia"/>
        </w:rPr>
        <w:t xml:space="preserve">  </w:t>
      </w:r>
    </w:p>
    <w:p>
      <w:pPr>
        <w:rPr>
          <w:rFonts w:hint="eastAsia"/>
          <w:sz w:val="30"/>
          <w:szCs w:val="30"/>
        </w:rPr>
      </w:pPr>
    </w:p>
    <w:p>
      <w:pPr>
        <w:rPr>
          <w:rFonts w:hint="eastAsia"/>
          <w:sz w:val="30"/>
          <w:szCs w:val="30"/>
        </w:rPr>
      </w:pPr>
      <w:r>
        <w:rPr>
          <w:rFonts w:hint="eastAsia"/>
          <w:sz w:val="30"/>
          <w:szCs w:val="30"/>
        </w:rPr>
        <w:t>高通量血液透析对维持性血液透析患者肾功能、钙磷代谢及营养状况的影响观察</w:t>
      </w:r>
    </w:p>
    <w:p>
      <w:pPr>
        <w:ind w:firstLine="1320" w:firstLineChars="550"/>
        <w:rPr>
          <w:rFonts w:hint="eastAsia" w:asciiTheme="majorEastAsia" w:hAnsiTheme="majorEastAsia" w:eastAsiaTheme="majorEastAsia"/>
          <w:sz w:val="28"/>
          <w:szCs w:val="28"/>
        </w:rPr>
      </w:pPr>
      <w:r>
        <w:rPr>
          <w:sz w:val="24"/>
          <w:szCs w:val="24"/>
        </w:rPr>
        <w:t>Effects of high-flux hemodialysis on renal function, calcium and phosphorus metabolism and nutritional status in maintenance hemodialysis patients</w:t>
      </w:r>
      <w:r>
        <w:rPr>
          <w:rFonts w:hint="eastAsia"/>
          <w:sz w:val="24"/>
          <w:szCs w:val="24"/>
        </w:rPr>
        <w:t xml:space="preserve">  </w:t>
      </w:r>
    </w:p>
    <w:p>
      <w:pPr>
        <w:ind w:firstLine="3300" w:firstLineChars="1100"/>
        <w:rPr>
          <w:rFonts w:hint="eastAsia" w:asciiTheme="majorEastAsia" w:hAnsiTheme="majorEastAsia" w:eastAsiaTheme="majorEastAsia"/>
          <w:sz w:val="30"/>
          <w:szCs w:val="30"/>
          <w:vertAlign w:val="superscript"/>
          <w:lang w:val="en-US" w:eastAsia="zh-CN"/>
        </w:rPr>
      </w:pPr>
      <w:r>
        <w:rPr>
          <w:rFonts w:hint="eastAsia" w:asciiTheme="majorEastAsia" w:hAnsiTheme="majorEastAsia" w:eastAsiaTheme="majorEastAsia"/>
          <w:sz w:val="30"/>
          <w:szCs w:val="30"/>
        </w:rPr>
        <w:t>唐小玲</w:t>
      </w:r>
      <w:r>
        <w:rPr>
          <w:rFonts w:hint="eastAsia" w:asciiTheme="majorEastAsia" w:hAnsiTheme="majorEastAsia" w:eastAsiaTheme="majorEastAsia"/>
          <w:sz w:val="30"/>
          <w:szCs w:val="30"/>
          <w:vertAlign w:val="superscript"/>
          <w:lang w:val="en-US" w:eastAsia="zh-CN"/>
        </w:rPr>
        <w:t xml:space="preserve">1  </w:t>
      </w:r>
      <w:r>
        <w:rPr>
          <w:rFonts w:hint="eastAsia" w:asciiTheme="majorEastAsia" w:hAnsiTheme="majorEastAsia" w:eastAsiaTheme="majorEastAsia"/>
          <w:sz w:val="30"/>
          <w:szCs w:val="30"/>
        </w:rPr>
        <w:t xml:space="preserve">  </w:t>
      </w:r>
      <w:r>
        <w:rPr>
          <w:rFonts w:hint="eastAsia" w:asciiTheme="majorEastAsia" w:hAnsiTheme="majorEastAsia" w:eastAsiaTheme="majorEastAsia"/>
          <w:sz w:val="30"/>
          <w:szCs w:val="30"/>
          <w:lang w:val="en-US" w:eastAsia="zh-CN"/>
        </w:rPr>
        <w:t xml:space="preserve">  </w:t>
      </w:r>
      <w:r>
        <w:rPr>
          <w:rFonts w:hint="eastAsia" w:asciiTheme="majorEastAsia" w:hAnsiTheme="majorEastAsia" w:eastAsiaTheme="majorEastAsia"/>
          <w:sz w:val="30"/>
          <w:szCs w:val="30"/>
        </w:rPr>
        <w:t>张琼</w:t>
      </w:r>
      <w:r>
        <w:rPr>
          <w:rFonts w:hint="eastAsia" w:asciiTheme="majorEastAsia" w:hAnsiTheme="majorEastAsia" w:eastAsiaTheme="majorEastAsia"/>
          <w:sz w:val="30"/>
          <w:szCs w:val="30"/>
          <w:vertAlign w:val="superscript"/>
          <w:lang w:val="en-US" w:eastAsia="zh-CN"/>
        </w:rPr>
        <w:t>2</w:t>
      </w:r>
    </w:p>
    <w:p>
      <w:pPr>
        <w:ind w:firstLine="3120" w:firstLineChars="1300"/>
        <w:rPr>
          <w:rFonts w:hint="eastAsia" w:asciiTheme="majorEastAsia" w:hAnsiTheme="majorEastAsia" w:eastAsiaTheme="majorEastAsia"/>
          <w:sz w:val="30"/>
          <w:szCs w:val="30"/>
          <w:vertAlign w:val="superscript"/>
          <w:lang w:val="en-US" w:eastAsia="zh-CN"/>
        </w:rPr>
      </w:pPr>
      <w:r>
        <w:rPr>
          <w:sz w:val="24"/>
          <w:szCs w:val="24"/>
        </w:rPr>
        <w:t>Tang xiaoling</w:t>
      </w:r>
      <w:r>
        <w:rPr>
          <w:rFonts w:hint="eastAsia"/>
          <w:sz w:val="24"/>
          <w:szCs w:val="24"/>
          <w:vertAlign w:val="superscript"/>
          <w:lang w:val="en-US" w:eastAsia="zh-CN"/>
        </w:rPr>
        <w:t>1</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zhang qiong </w:t>
      </w:r>
      <w:r>
        <w:rPr>
          <w:rFonts w:hint="eastAsia"/>
          <w:sz w:val="24"/>
          <w:szCs w:val="24"/>
          <w:vertAlign w:val="superscript"/>
          <w:lang w:val="en-US" w:eastAsia="zh-CN"/>
        </w:rPr>
        <w:t>2</w:t>
      </w:r>
    </w:p>
    <w:p>
      <w:pPr>
        <w:ind w:firstLine="840" w:firstLineChars="35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西南医科大学</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 xml:space="preserve">四川泸州 </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646000</w:t>
      </w:r>
      <w:r>
        <w:rPr>
          <w:rFonts w:hint="eastAsia" w:asciiTheme="majorEastAsia" w:hAnsiTheme="majorEastAsia" w:eastAsiaTheme="majorEastAsia"/>
          <w:sz w:val="24"/>
          <w:szCs w:val="24"/>
          <w:lang w:val="en-US" w:eastAsia="zh-CN"/>
        </w:rPr>
        <w:t xml:space="preserve">   China </w:t>
      </w:r>
      <w:r>
        <w:rPr>
          <w:rFonts w:hint="eastAsia" w:asciiTheme="majorEastAsia" w:hAnsiTheme="majorEastAsia" w:eastAsiaTheme="majorEastAsia"/>
          <w:sz w:val="24"/>
          <w:szCs w:val="24"/>
          <w:lang w:eastAsia="zh-CN"/>
        </w:rPr>
        <w:t>）</w:t>
      </w:r>
    </w:p>
    <w:p>
      <w:pPr>
        <w:ind w:firstLine="840" w:firstLineChars="35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西南医科大学附属中医医院</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 xml:space="preserve"> 四川泸州</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 xml:space="preserve"> 646000</w:t>
      </w:r>
      <w:r>
        <w:rPr>
          <w:rFonts w:hint="eastAsia" w:asciiTheme="majorEastAsia" w:hAnsiTheme="majorEastAsia" w:eastAsiaTheme="majorEastAsia"/>
          <w:sz w:val="24"/>
          <w:szCs w:val="24"/>
          <w:lang w:eastAsia="zh-CN"/>
        </w:rPr>
        <w:t>）</w:t>
      </w:r>
    </w:p>
    <w:p>
      <w:pPr>
        <w:ind w:firstLine="480" w:firstLineChars="200"/>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1、</w:t>
      </w:r>
      <w:r>
        <w:rPr>
          <w:sz w:val="24"/>
          <w:szCs w:val="24"/>
        </w:rPr>
        <w:t>Southwest medical university</w:t>
      </w:r>
      <w:r>
        <w:rPr>
          <w:rFonts w:hint="eastAsia"/>
          <w:sz w:val="24"/>
          <w:szCs w:val="24"/>
          <w:lang w:val="en-US" w:eastAsia="zh-CN"/>
        </w:rPr>
        <w:t xml:space="preserve">     lu  Zhou      64600   China</w:t>
      </w:r>
      <w:r>
        <w:rPr>
          <w:rFonts w:hint="eastAsia"/>
          <w:sz w:val="24"/>
          <w:szCs w:val="24"/>
          <w:lang w:eastAsia="zh-CN"/>
        </w:rPr>
        <w:t>）</w:t>
      </w:r>
    </w:p>
    <w:p>
      <w:pPr>
        <w:ind w:firstLine="480" w:firstLineChars="200"/>
        <w:rPr>
          <w:rFonts w:hint="eastAsia" w:asciiTheme="majorEastAsia" w:hAnsiTheme="majorEastAsia" w:eastAsiaTheme="majorEastAsia"/>
          <w:sz w:val="24"/>
          <w:szCs w:val="24"/>
          <w:lang w:eastAsia="zh-CN"/>
        </w:rPr>
      </w:pPr>
      <w:r>
        <w:rPr>
          <w:rFonts w:hint="eastAsia"/>
          <w:sz w:val="24"/>
          <w:szCs w:val="24"/>
          <w:lang w:val="en-US" w:eastAsia="zh-CN"/>
        </w:rPr>
        <w:t>(2、</w:t>
      </w:r>
      <w:r>
        <w:rPr>
          <w:sz w:val="24"/>
          <w:szCs w:val="24"/>
        </w:rPr>
        <w:t>southwest medical university affiliated hospital of traditional Chinese medicine</w:t>
      </w:r>
      <w:r>
        <w:rPr>
          <w:rFonts w:hint="eastAsia"/>
          <w:sz w:val="24"/>
          <w:szCs w:val="24"/>
          <w:lang w:val="en-US" w:eastAsia="zh-CN"/>
        </w:rPr>
        <w:t xml:space="preserve">  </w:t>
      </w:r>
      <w:r>
        <w:rPr>
          <w:sz w:val="24"/>
          <w:szCs w:val="24"/>
        </w:rPr>
        <w:t xml:space="preserve"> </w:t>
      </w:r>
      <w:r>
        <w:rPr>
          <w:rFonts w:hint="eastAsia"/>
          <w:sz w:val="24"/>
          <w:szCs w:val="24"/>
          <w:lang w:val="en-US" w:eastAsia="zh-CN"/>
        </w:rPr>
        <w:t>L</w:t>
      </w:r>
      <w:r>
        <w:rPr>
          <w:sz w:val="24"/>
          <w:szCs w:val="24"/>
        </w:rPr>
        <w:t>u</w:t>
      </w:r>
      <w:r>
        <w:rPr>
          <w:rFonts w:hint="eastAsia"/>
          <w:sz w:val="24"/>
          <w:szCs w:val="24"/>
          <w:lang w:val="en-US" w:eastAsia="zh-CN"/>
        </w:rPr>
        <w:t xml:space="preserve"> Z</w:t>
      </w:r>
      <w:r>
        <w:rPr>
          <w:sz w:val="24"/>
          <w:szCs w:val="24"/>
        </w:rPr>
        <w:t xml:space="preserve">hou </w:t>
      </w:r>
      <w:r>
        <w:rPr>
          <w:rFonts w:hint="eastAsia"/>
          <w:sz w:val="24"/>
          <w:szCs w:val="24"/>
          <w:lang w:val="en-US" w:eastAsia="zh-CN"/>
        </w:rPr>
        <w:t xml:space="preserve">  </w:t>
      </w:r>
      <w:r>
        <w:rPr>
          <w:sz w:val="24"/>
          <w:szCs w:val="24"/>
        </w:rPr>
        <w:t xml:space="preserve">646000, </w:t>
      </w:r>
      <w:r>
        <w:rPr>
          <w:rFonts w:hint="eastAsia"/>
          <w:sz w:val="24"/>
          <w:szCs w:val="24"/>
          <w:lang w:val="en-US" w:eastAsia="zh-CN"/>
        </w:rPr>
        <w:t xml:space="preserve">   China )</w:t>
      </w:r>
      <w:bookmarkStart w:id="0" w:name="_GoBack"/>
      <w:bookmarkEnd w:id="0"/>
    </w:p>
    <w:p>
      <w:pPr>
        <w:rPr>
          <w:color w:val="FF0000"/>
          <w:sz w:val="24"/>
          <w:szCs w:val="24"/>
        </w:rPr>
      </w:pPr>
      <w:r>
        <w:rPr>
          <w:rFonts w:hint="eastAsia"/>
        </w:rPr>
        <w:t>【</w:t>
      </w:r>
      <w:r>
        <w:rPr>
          <w:rFonts w:hint="eastAsia"/>
          <w:b/>
          <w:sz w:val="28"/>
          <w:szCs w:val="28"/>
        </w:rPr>
        <w:t>摘要</w:t>
      </w:r>
      <w:r>
        <w:rPr>
          <w:rFonts w:hint="eastAsia"/>
        </w:rPr>
        <w:t>】：</w:t>
      </w:r>
      <w:r>
        <w:rPr>
          <w:rFonts w:hint="eastAsia"/>
          <w:b/>
        </w:rPr>
        <w:t>目的</w:t>
      </w:r>
      <w:r>
        <w:rPr>
          <w:rFonts w:hint="eastAsia"/>
        </w:rPr>
        <w:t>：</w:t>
      </w:r>
      <w:r>
        <w:rPr>
          <w:rFonts w:hint="eastAsia"/>
          <w:sz w:val="24"/>
          <w:szCs w:val="24"/>
        </w:rPr>
        <w:t>探讨高通量血液透析（</w:t>
      </w:r>
      <w:r>
        <w:rPr>
          <w:rFonts w:ascii="Arial" w:hAnsi="Arial" w:cs="Arial"/>
          <w:color w:val="333333"/>
          <w:szCs w:val="21"/>
          <w:shd w:val="clear" w:color="auto" w:fill="FFFFFF"/>
        </w:rPr>
        <w:t>high-flux hemodialysis</w:t>
      </w:r>
      <w:r>
        <w:rPr>
          <w:rFonts w:hint="eastAsia" w:ascii="Arial" w:hAnsi="Arial" w:cs="Arial"/>
          <w:color w:val="333333"/>
          <w:szCs w:val="21"/>
          <w:shd w:val="clear" w:color="auto" w:fill="FFFFFF"/>
        </w:rPr>
        <w:t xml:space="preserve">  HFHD</w:t>
      </w:r>
      <w:r>
        <w:rPr>
          <w:rFonts w:hint="eastAsia"/>
          <w:sz w:val="24"/>
          <w:szCs w:val="24"/>
        </w:rPr>
        <w:t>）治疗对终末期肾脏病患者肾功能、钙磷代谢、营养状况及微炎症状态的影响。</w:t>
      </w:r>
      <w:r>
        <w:rPr>
          <w:rFonts w:hint="eastAsia"/>
          <w:b/>
          <w:sz w:val="24"/>
          <w:szCs w:val="24"/>
        </w:rPr>
        <w:t>方法</w:t>
      </w:r>
      <w:r>
        <w:rPr>
          <w:rFonts w:hint="eastAsia"/>
          <w:sz w:val="24"/>
          <w:szCs w:val="24"/>
        </w:rPr>
        <w:t>：选取我院2018年4月-2019年4月规律透析且符合CKD5期诊断标准的MHD患者123例，测量患者透析前后肾功（尿素氮、肌酐、尿酸）、血脂（甘油三脂及胆固醇）、钙磷代谢（血钙、血磷及PTH）、营养状况（血红蛋白、白蛋白）及微炎症状态（超敏C反应蛋白）等指标，并进行统计学分析</w:t>
      </w:r>
      <w:r>
        <w:rPr>
          <w:rFonts w:hint="eastAsia"/>
          <w:color w:val="0D0D0D" w:themeColor="text1" w:themeTint="F2"/>
          <w:sz w:val="24"/>
          <w:szCs w:val="24"/>
          <w14:textFill>
            <w14:solidFill>
              <w14:schemeClr w14:val="tx1">
                <w14:lumMod w14:val="95000"/>
                <w14:lumOff w14:val="5000"/>
              </w14:schemeClr>
            </w14:solidFill>
          </w14:textFill>
        </w:rPr>
        <w:t>。</w:t>
      </w:r>
      <w:r>
        <w:rPr>
          <w:rFonts w:hint="eastAsia"/>
          <w:b/>
          <w:color w:val="0D0D0D" w:themeColor="text1" w:themeTint="F2"/>
          <w:sz w:val="24"/>
          <w:szCs w:val="24"/>
          <w14:textFill>
            <w14:solidFill>
              <w14:schemeClr w14:val="tx1">
                <w14:lumMod w14:val="95000"/>
                <w14:lumOff w14:val="5000"/>
              </w14:schemeClr>
            </w14:solidFill>
          </w14:textFill>
        </w:rPr>
        <w:t>结果：</w:t>
      </w:r>
      <w:r>
        <w:rPr>
          <w:rFonts w:hint="eastAsia"/>
          <w:color w:val="0D0D0D" w:themeColor="text1" w:themeTint="F2"/>
          <w:sz w:val="24"/>
          <w:szCs w:val="24"/>
          <w14:textFill>
            <w14:solidFill>
              <w14:schemeClr w14:val="tx1">
                <w14:lumMod w14:val="95000"/>
                <w14:lumOff w14:val="5000"/>
              </w14:schemeClr>
            </w14:solidFill>
          </w14:textFill>
        </w:rPr>
        <w:t>与初次透析治疗前相比，初透后患者营养状况、炎症指标、血脂、甲状旁腺激素水平</w:t>
      </w:r>
      <w:r>
        <w:rPr>
          <w:rFonts w:hint="eastAsia"/>
          <w:sz w:val="24"/>
          <w:szCs w:val="24"/>
        </w:rPr>
        <w:t>明显改善，（P</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&lt;0.05 差异有统计学意义</w:t>
      </w:r>
      <w:r>
        <w:rPr>
          <w:rFonts w:hint="eastAsia"/>
          <w:sz w:val="24"/>
          <w:szCs w:val="24"/>
        </w:rPr>
        <w:t>），而肾功、钙磷代谢水平无明显差异（P</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&gt;0.05</w:t>
      </w:r>
      <w:r>
        <w:rPr>
          <w:rFonts w:hint="eastAsia"/>
          <w:sz w:val="24"/>
          <w:szCs w:val="24"/>
        </w:rPr>
        <w:t>）。规律透析6月后患者肾功、血脂、钙磷代谢、微炎症状态均显著改善（P</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&lt;0.001，差异有统计学意义</w:t>
      </w:r>
      <w:r>
        <w:rPr>
          <w:rFonts w:hint="eastAsia"/>
          <w:sz w:val="24"/>
          <w:szCs w:val="24"/>
        </w:rPr>
        <w:t>），而营养指标未见明显变化。</w:t>
      </w:r>
      <w:r>
        <w:rPr>
          <w:rFonts w:hint="eastAsia"/>
          <w:b/>
          <w:sz w:val="24"/>
          <w:szCs w:val="24"/>
        </w:rPr>
        <w:t>结论</w:t>
      </w:r>
      <w:r>
        <w:rPr>
          <w:rFonts w:hint="eastAsia"/>
          <w:sz w:val="24"/>
          <w:szCs w:val="24"/>
        </w:rPr>
        <w:t>：高通量血液透析治疗是一种能明显清除血磷，减轻微炎症反应、</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改善贫血，</w:t>
      </w:r>
      <w:r>
        <w:rPr>
          <w:rFonts w:hint="eastAsia"/>
          <w:sz w:val="24"/>
          <w:szCs w:val="24"/>
        </w:rPr>
        <w:t>纠正钙磷代谢紊乱，</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保护残余肾功能的</w:t>
      </w:r>
      <w:r>
        <w:rPr>
          <w:rFonts w:hint="eastAsia"/>
          <w:sz w:val="24"/>
          <w:szCs w:val="24"/>
        </w:rPr>
        <w:t>重要透析方法。</w:t>
      </w:r>
    </w:p>
    <w:p>
      <w:pPr>
        <w:ind w:firstLine="361" w:firstLineChars="150"/>
        <w:rPr>
          <w:b/>
          <w:color w:val="0D0D0D" w:themeColor="text1" w:themeTint="F2"/>
          <w14:textFill>
            <w14:solidFill>
              <w14:schemeClr w14:val="tx1">
                <w14:lumMod w14:val="95000"/>
                <w14:lumOff w14:val="5000"/>
              </w14:schemeClr>
            </w14:solidFill>
          </w14:textFill>
        </w:rPr>
      </w:pPr>
      <w:r>
        <w:rPr>
          <w:rFonts w:hint="eastAsia"/>
          <w:b/>
          <w:sz w:val="24"/>
          <w:szCs w:val="24"/>
        </w:rPr>
        <w:t>【Abstract】</w:t>
      </w:r>
      <w:r>
        <w:rPr>
          <w:b/>
          <w:sz w:val="24"/>
          <w:szCs w:val="24"/>
        </w:rPr>
        <w:t>Objective</w:t>
      </w:r>
      <w:r>
        <w:rPr>
          <w:rFonts w:hint="eastAsia"/>
          <w:sz w:val="24"/>
          <w:szCs w:val="24"/>
        </w:rPr>
        <w:t>：</w:t>
      </w:r>
      <w:r>
        <w:rPr>
          <w:sz w:val="24"/>
          <w:szCs w:val="24"/>
        </w:rPr>
        <w:t>To explore high flux hemodialysis (high - flux hemodialysis HFHD) treatment of renal function in patients with end-stage kidney disease (CKD), calcium</w:t>
      </w:r>
      <w:r>
        <w:rPr>
          <w:rFonts w:hint="eastAsia"/>
          <w:sz w:val="24"/>
          <w:szCs w:val="24"/>
        </w:rPr>
        <w:t xml:space="preserve"> </w:t>
      </w:r>
      <w:r>
        <w:rPr>
          <w:sz w:val="24"/>
          <w:szCs w:val="24"/>
        </w:rPr>
        <w:t>phosphorus</w:t>
      </w:r>
      <w:r>
        <w:rPr>
          <w:rFonts w:hint="eastAsia"/>
          <w:sz w:val="24"/>
          <w:szCs w:val="24"/>
        </w:rPr>
        <w:t xml:space="preserve"> </w:t>
      </w:r>
      <w:r>
        <w:rPr>
          <w:sz w:val="24"/>
          <w:szCs w:val="24"/>
        </w:rPr>
        <w:t xml:space="preserve">metabolism,nutritional status and micro state of inflammation </w:t>
      </w:r>
      <w:r>
        <w:rPr>
          <w:rFonts w:hint="eastAsia"/>
          <w:sz w:val="24"/>
          <w:szCs w:val="24"/>
        </w:rPr>
        <w:t>.</w:t>
      </w:r>
      <w:r>
        <w:rPr>
          <w:b/>
          <w:sz w:val="24"/>
          <w:szCs w:val="24"/>
        </w:rPr>
        <w:t>Method</w:t>
      </w:r>
      <w:r>
        <w:rPr>
          <w:rFonts w:hint="eastAsia"/>
          <w:sz w:val="24"/>
          <w:szCs w:val="24"/>
        </w:rPr>
        <w:t>：</w:t>
      </w:r>
      <w:r>
        <w:rPr>
          <w:sz w:val="24"/>
          <w:szCs w:val="24"/>
        </w:rPr>
        <w:t>Selected from April 2018 - April 2019 regular dialysis and CKD5 period diagnosis standard of MHD patients 123 cases, measure the before and after dialysis in patients with renal function, urea nitrogen, creatinine, uric acid, blood fats (triglycerides and cholesterol), calcium phosphorus metabolism of blood (blood calcium, phosphorus and PTH), nutritional status, hemoglobin, albumin) and micro inflammation state (hypersensitive c-reactive protein), and other indicators, and statistical analysis.</w:t>
      </w:r>
      <w:r>
        <w:rPr>
          <w:b/>
          <w:sz w:val="24"/>
          <w:szCs w:val="24"/>
        </w:rPr>
        <w:t>Result</w:t>
      </w:r>
      <w:r>
        <w:rPr>
          <w:rFonts w:hint="eastAsia"/>
          <w:b/>
          <w:sz w:val="24"/>
          <w:szCs w:val="24"/>
        </w:rPr>
        <w:t>：</w:t>
      </w:r>
      <w:r>
        <w:rPr>
          <w:sz w:val="24"/>
          <w:szCs w:val="24"/>
        </w:rPr>
        <w:t>Compared with the patients before the initial dialysis treatment, the nutritional status, inflammatory indicators, blood lipids and parathyroid hormone levels were significantly improved after the initial dialysis treatment (P &lt;0.05, which was statistically significant), while the renal function and calcium and phosphorus metabolism levels were not significantly different (P&gt;0.05).After regular dialysis for 6 months, the renal function, blood lipid, calcium and phosphorus metabolism and microinflammatory status of the patients were significantly improved (P&lt;0.001, the difference was statistically significant), while the nutritional indicators were not significantly changed</w:t>
      </w:r>
      <w:r>
        <w:rPr>
          <w:rFonts w:hint="eastAsia"/>
          <w:sz w:val="24"/>
          <w:szCs w:val="24"/>
        </w:rPr>
        <w:t>.</w:t>
      </w:r>
      <w:r>
        <w:rPr>
          <w:sz w:val="24"/>
          <w:szCs w:val="24"/>
        </w:rPr>
        <w:t xml:space="preserve"> </w:t>
      </w:r>
      <w:r>
        <w:rPr>
          <w:b/>
          <w:sz w:val="24"/>
          <w:szCs w:val="24"/>
        </w:rPr>
        <w:t>Conclusion</w:t>
      </w:r>
      <w:r>
        <w:rPr>
          <w:rFonts w:hint="eastAsia"/>
          <w:sz w:val="24"/>
          <w:szCs w:val="24"/>
        </w:rPr>
        <w:t>：</w:t>
      </w:r>
      <w:r>
        <w:rPr>
          <w:sz w:val="24"/>
          <w:szCs w:val="24"/>
        </w:rPr>
        <w:t>High-throughput hemodialysis therapy is an important dialysis method that can obviously remove blood phosphorus, reduce micro-inflammatory reaction, improve anemia, correct calcium and phosphorus metabolism disorder, and protect residual renal function.</w:t>
      </w:r>
    </w:p>
    <w:p>
      <w:pPr>
        <w:rPr>
          <w:sz w:val="24"/>
          <w:szCs w:val="24"/>
        </w:rPr>
      </w:pPr>
      <w:r>
        <w:rPr>
          <w:rFonts w:hint="eastAsia"/>
          <w:color w:val="0D0D0D" w:themeColor="text1" w:themeTint="F2"/>
          <w14:textFill>
            <w14:solidFill>
              <w14:schemeClr w14:val="tx1">
                <w14:lumMod w14:val="95000"/>
                <w14:lumOff w14:val="5000"/>
              </w14:schemeClr>
            </w14:solidFill>
          </w14:textFill>
        </w:rPr>
        <w:t>【</w:t>
      </w:r>
      <w:r>
        <w:rPr>
          <w:rFonts w:hint="eastAsia"/>
          <w:b/>
          <w:color w:val="0D0D0D" w:themeColor="text1" w:themeTint="F2"/>
          <w:sz w:val="28"/>
          <w:szCs w:val="28"/>
          <w14:textFill>
            <w14:solidFill>
              <w14:schemeClr w14:val="tx1">
                <w14:lumMod w14:val="95000"/>
                <w14:lumOff w14:val="5000"/>
              </w14:schemeClr>
            </w14:solidFill>
          </w14:textFill>
        </w:rPr>
        <w:t>关键词</w:t>
      </w:r>
      <w:r>
        <w:rPr>
          <w:rFonts w:hint="eastAsia"/>
          <w:color w:val="0D0D0D" w:themeColor="text1" w:themeTint="F2"/>
          <w14:textFill>
            <w14:solidFill>
              <w14:schemeClr w14:val="tx1">
                <w14:lumMod w14:val="95000"/>
                <w14:lumOff w14:val="5000"/>
              </w14:schemeClr>
            </w14:solidFill>
          </w14:textFill>
        </w:rPr>
        <w:t>】</w:t>
      </w:r>
      <w:r>
        <w:rPr>
          <w:rFonts w:hint="eastAsia"/>
          <w:sz w:val="24"/>
          <w:szCs w:val="24"/>
        </w:rPr>
        <w:t>高通量血液透析；钙磷代谢；微炎症状态；营养状况</w:t>
      </w:r>
    </w:p>
    <w:p>
      <w:pPr>
        <w:ind w:firstLine="315" w:firstLineChars="150"/>
        <w:rPr>
          <w:sz w:val="24"/>
          <w:szCs w:val="24"/>
        </w:rPr>
      </w:pPr>
      <w:r>
        <w:rPr>
          <w:rFonts w:hint="eastAsia"/>
          <w:color w:val="0D0D0D" w:themeColor="text1" w:themeTint="F2"/>
          <w14:textFill>
            <w14:solidFill>
              <w14:schemeClr w14:val="tx1">
                <w14:lumMod w14:val="95000"/>
                <w14:lumOff w14:val="5000"/>
              </w14:schemeClr>
            </w14:solidFill>
          </w14:textFill>
        </w:rPr>
        <w:t>【</w:t>
      </w:r>
      <w:r>
        <w:rPr>
          <w:b/>
          <w:sz w:val="28"/>
          <w:szCs w:val="28"/>
        </w:rPr>
        <w:t>Key</w:t>
      </w:r>
      <w:r>
        <w:rPr>
          <w:rFonts w:hint="eastAsia"/>
          <w:b/>
          <w:sz w:val="28"/>
          <w:szCs w:val="28"/>
        </w:rPr>
        <w:t xml:space="preserve"> </w:t>
      </w:r>
      <w:r>
        <w:rPr>
          <w:b/>
          <w:sz w:val="28"/>
          <w:szCs w:val="28"/>
        </w:rPr>
        <w:t>words</w:t>
      </w:r>
      <w:r>
        <w:rPr>
          <w:rFonts w:hint="eastAsia"/>
          <w:color w:val="0D0D0D" w:themeColor="text1" w:themeTint="F2"/>
          <w14:textFill>
            <w14:solidFill>
              <w14:schemeClr w14:val="tx1">
                <w14:lumMod w14:val="95000"/>
                <w14:lumOff w14:val="5000"/>
              </w14:schemeClr>
            </w14:solidFill>
          </w14:textFill>
        </w:rPr>
        <w:t>】</w:t>
      </w:r>
      <w:r>
        <w:rPr>
          <w:rFonts w:hint="eastAsia"/>
          <w:sz w:val="24"/>
          <w:szCs w:val="24"/>
        </w:rPr>
        <w:t>:</w:t>
      </w:r>
      <w:r>
        <w:rPr>
          <w:rFonts w:ascii="Arial" w:hAnsi="Arial" w:cs="Arial"/>
          <w:color w:val="333333"/>
          <w:szCs w:val="21"/>
          <w:shd w:val="clear" w:color="auto" w:fill="FFFFFF"/>
        </w:rPr>
        <w:t xml:space="preserve"> </w:t>
      </w:r>
      <w:r>
        <w:rPr>
          <w:rFonts w:hint="eastAsia"/>
          <w:sz w:val="24"/>
          <w:szCs w:val="24"/>
        </w:rPr>
        <w:t>H</w:t>
      </w:r>
      <w:r>
        <w:rPr>
          <w:sz w:val="24"/>
          <w:szCs w:val="24"/>
        </w:rPr>
        <w:t>igh-flux hemodialysis</w:t>
      </w:r>
      <w:r>
        <w:rPr>
          <w:rFonts w:hint="eastAsia"/>
          <w:sz w:val="24"/>
          <w:szCs w:val="24"/>
        </w:rPr>
        <w:t>;</w:t>
      </w:r>
      <w:r>
        <w:rPr>
          <w:rFonts w:hint="eastAsia" w:ascii="微软雅黑" w:hAnsi="微软雅黑" w:eastAsia="微软雅黑"/>
          <w:color w:val="919599"/>
          <w:sz w:val="20"/>
          <w:szCs w:val="20"/>
          <w:shd w:val="clear" w:color="auto" w:fill="F7F8FA"/>
        </w:rPr>
        <w:t xml:space="preserve"> </w:t>
      </w:r>
      <w:r>
        <w:rPr>
          <w:rFonts w:hint="eastAsia"/>
          <w:sz w:val="24"/>
          <w:szCs w:val="24"/>
        </w:rPr>
        <w:t>calcium-phosphorus metabolism；</w:t>
      </w:r>
      <w:r>
        <w:rPr>
          <w:sz w:val="24"/>
          <w:szCs w:val="24"/>
        </w:rPr>
        <w:t xml:space="preserve"> Microinflammatory state;Nutritional status</w:t>
      </w:r>
    </w:p>
    <w:p>
      <w:pPr>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维持性血液透析是治疗终末期肾脏病（endstage renal disease，ESRD）的重要方法，随着全球ESRD患病率的逐年增加，慢性肾脏病一矿物质与骨代谢紊乱(CKD-MBD )已成为终末期肾病患者的常见并发症</w:t>
      </w:r>
      <w:r>
        <w:rPr>
          <w:rFonts w:hint="eastAsia" w:asciiTheme="majorEastAsia" w:hAnsiTheme="majorEastAsia" w:eastAsiaTheme="majorEastAsia"/>
          <w:sz w:val="24"/>
          <w:szCs w:val="24"/>
          <w:vertAlign w:val="superscript"/>
        </w:rPr>
        <w:t>【1】</w:t>
      </w:r>
      <w:r>
        <w:rPr>
          <w:rFonts w:hint="eastAsia" w:asciiTheme="majorEastAsia" w:hAnsiTheme="majorEastAsia" w:eastAsiaTheme="majorEastAsia"/>
          <w:sz w:val="24"/>
          <w:szCs w:val="24"/>
        </w:rPr>
        <w:t>，高磷血症、增高的钙磷乘积和甲状旁腺功能亢进等并发症不仅增加了透析患者的患病率及死亡率</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sz w:val="24"/>
          <w:szCs w:val="24"/>
        </w:rPr>
        <w:t>还大大增加了心血管事件的发生。本研究主要探讨高通量血液透析治疗对CKD患者肾功能、钙磷代谢、微炎症状态及营养状况等相关指标的影响。</w:t>
      </w:r>
    </w:p>
    <w:p>
      <w:pPr>
        <w:ind w:firstLine="803" w:firstLineChars="25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对象与方法</w:t>
      </w:r>
    </w:p>
    <w:p>
      <w:pPr>
        <w:ind w:firstLine="703" w:firstLineChars="250"/>
        <w:jc w:val="left"/>
        <w:rPr>
          <w:rFonts w:asciiTheme="majorEastAsia" w:hAnsiTheme="majorEastAsia" w:eastAsiaTheme="majorEastAsia"/>
          <w:b/>
          <w:sz w:val="32"/>
          <w:szCs w:val="32"/>
        </w:rPr>
      </w:pPr>
      <w:r>
        <w:rPr>
          <w:rFonts w:hint="eastAsia" w:asciiTheme="majorEastAsia" w:hAnsiTheme="majorEastAsia" w:eastAsiaTheme="majorEastAsia"/>
          <w:b/>
          <w:sz w:val="28"/>
          <w:szCs w:val="28"/>
        </w:rPr>
        <w:t>1.1研究对象</w:t>
      </w:r>
    </w:p>
    <w:p>
      <w:pPr>
        <w:ind w:left="420"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选取我院血液净化中心MHD患者123例。纳入标准 ：①年龄18岁以上 ；②接受规律血液透析治疗时间大于等于3个月 ，每周3次，每次4小时；③自愿参加本课题研究并签署相关知情同意书。排除标准：①年龄小于等于18周岁；②透析时间小于3月，每周小于3次，每次小于4小时；③存在活动性自身免疫性疾病；</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 4 \* GB3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④</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排除近期有感染史、手术史、输血史；</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w:instrText>
      </w:r>
      <w:r>
        <w:rPr>
          <w:rFonts w:hint="eastAsia" w:asciiTheme="majorEastAsia" w:hAnsiTheme="majorEastAsia" w:eastAsiaTheme="majorEastAsia"/>
          <w:sz w:val="24"/>
          <w:szCs w:val="24"/>
        </w:rPr>
        <w:instrText xml:space="preserve">= 5 \* GB3</w:instrText>
      </w:r>
      <w:r>
        <w:rPr>
          <w:rFonts w:asciiTheme="majorEastAsia" w:hAnsiTheme="majorEastAsia" w:eastAsiaTheme="majorEastAsia"/>
          <w:sz w:val="24"/>
          <w:szCs w:val="24"/>
        </w:rPr>
        <w:instrText xml:space="preserve">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⑤</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半年内使用激素或免疫抑制剂治疗及恶性肿瘤及血液系统疾病；</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 6 \* GB3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⑥</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 xml:space="preserve">近3个月合并感染、心脑血管意外事件。入选患者中男性67 例 </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w:instrText>
      </w:r>
      <w:r>
        <w:rPr>
          <w:rFonts w:hint="eastAsia" w:asciiTheme="majorEastAsia" w:hAnsiTheme="majorEastAsia" w:eastAsiaTheme="majorEastAsia"/>
          <w:sz w:val="24"/>
          <w:szCs w:val="24"/>
        </w:rPr>
        <w:instrText xml:space="preserve">= 2 \* GB3</w:instrText>
      </w:r>
      <w:r>
        <w:rPr>
          <w:rFonts w:asciiTheme="majorEastAsia" w:hAnsiTheme="majorEastAsia" w:eastAsiaTheme="majorEastAsia"/>
          <w:sz w:val="24"/>
          <w:szCs w:val="24"/>
        </w:rPr>
        <w:instrText xml:space="preserve"> </w:instrText>
      </w:r>
      <w:r>
        <w:rPr>
          <w:rFonts w:asciiTheme="majorEastAsia" w:hAnsiTheme="majorEastAsia" w:eastAsiaTheme="majorEastAsia"/>
          <w:sz w:val="24"/>
          <w:szCs w:val="24"/>
        </w:rPr>
        <w:fldChar w:fldCharType="separate"/>
      </w:r>
      <w:r>
        <w:rPr>
          <w:rFonts w:hint="eastAsia" w:asciiTheme="majorEastAsia" w:hAnsiTheme="majorEastAsia" w:eastAsiaTheme="majorEastAsia"/>
          <w:sz w:val="24"/>
          <w:szCs w:val="24"/>
        </w:rPr>
        <w:t>②</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女性 56 例，平均年龄(60.54±13.6岁 )(25 ～83岁 ),透析龄（22.3±23.91）；其中：原发性肾脏病52例，高血压肾病20例，糖尿病肾病43例，痛风性肾病2例，慢性梗阻性肾病2例 ，多囊肾14例。</w:t>
      </w:r>
    </w:p>
    <w:p>
      <w:pPr>
        <w:rPr>
          <w:rFonts w:asciiTheme="majorEastAsia" w:hAnsiTheme="majorEastAsia" w:eastAsiaTheme="majorEastAsia"/>
          <w:color w:val="0D0D0D" w:themeColor="text1" w:themeTint="F2"/>
          <w:sz w:val="28"/>
          <w:szCs w:val="2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8"/>
          <w:szCs w:val="28"/>
          <w14:textFill>
            <w14:solidFill>
              <w14:schemeClr w14:val="tx1">
                <w14:lumMod w14:val="95000"/>
                <w14:lumOff w14:val="5000"/>
              </w14:schemeClr>
            </w14:solidFill>
          </w14:textFill>
        </w:rPr>
        <w:t>1.2</w:t>
      </w:r>
      <w:r>
        <w:rPr>
          <w:rFonts w:hint="eastAsia" w:asciiTheme="majorEastAsia" w:hAnsiTheme="majorEastAsia" w:eastAsiaTheme="majorEastAsia"/>
          <w:b/>
          <w:color w:val="0D0D0D" w:themeColor="text1" w:themeTint="F2"/>
          <w:sz w:val="28"/>
          <w:szCs w:val="28"/>
          <w14:textFill>
            <w14:solidFill>
              <w14:schemeClr w14:val="tx1">
                <w14:lumMod w14:val="95000"/>
                <w14:lumOff w14:val="5000"/>
              </w14:schemeClr>
            </w14:solidFill>
          </w14:textFill>
        </w:rPr>
        <w:t>研究方法</w:t>
      </w:r>
    </w:p>
    <w:p>
      <w:pPr>
        <w:ind w:firstLine="480" w:firstLineChars="200"/>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sz w:val="24"/>
          <w:szCs w:val="24"/>
        </w:rPr>
        <w:t>入组ESRD患者均接受常规尿毒症方案治疗：①持性血液透析患者均使用碳酸氢盐进行血液透析治疗，流量为500ml/min，血流量为200-250ml/min，治疗时间为3次/周，4小时/次。所有患者均连续治疗3个月以上。②饮食治疗、控制血糖、血压、改善贫血等治疗。所有入选患者分别采集透析治疗前空腹8小时及透析治疗后，且为一周首次透析当日静脉血标本，并立即送往我院检验科，由统一的的全自动生化分析仪测定尿素氮，肌酐，尿酸，血钙，血磷 ，PTH，血红蛋白，血小板，白蛋白，超敏 CRP、铁蛋白，血清铁等指标。分析高通量血液透析对肾功、血钙、血磷、PTH等的影响。</w:t>
      </w:r>
    </w:p>
    <w:p>
      <w:pPr>
        <w:ind w:firstLine="241" w:firstLineChars="100"/>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2.结果  </w:t>
      </w:r>
    </w:p>
    <w:p>
      <w:pPr>
        <w:ind w:firstLine="600" w:firstLineChars="250"/>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初次透析前后相比，患者血红蛋白及白蛋白、hs-CRP、甘油三脂、胆固醇及PTH明显下降（P&lt;0.05 差异有统计学意义），而肾功及血钙、血磷未见明显差异（P</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&gt;0.05</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）（见表1）；规律透析6月后患者肾功、钙磷代谢、炎症指标hs-CRP及血脂均明显改善，而血红蛋白、白蛋白未见明显下降（见表2）。</w:t>
      </w:r>
    </w:p>
    <w:p>
      <w:pPr>
        <w:ind w:firstLine="241" w:firstLineChars="100"/>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表格1  初次透析前后资料各项指标检测水平比较(χ±</w:t>
      </w:r>
      <w: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s</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w:t>
      </w:r>
    </w:p>
    <w:tbl>
      <w:tblPr>
        <w:tblStyle w:val="7"/>
        <w:tblW w:w="12002" w:type="dxa"/>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810" w:hRule="atLeast"/>
        </w:trPr>
        <w:tc>
          <w:tcPr>
            <w:tcW w:w="11766" w:type="dxa"/>
          </w:tcPr>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组别      肌酐           尿素氮          血钙           血磷      甲状旁腺激素       血红蛋白  </w:t>
            </w:r>
          </w:p>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Cr             BUN             Ca            P          PTH               Hb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930" w:hRule="atLeast"/>
        </w:trPr>
        <w:tc>
          <w:tcPr>
            <w:tcW w:w="11766" w:type="dxa"/>
            <w:tcBorders>
              <w:bottom w:val="single" w:color="auto" w:sz="4" w:space="0"/>
            </w:tcBorders>
          </w:tcPr>
          <w:p>
            <w:pPr>
              <w:ind w:left="843" w:hanging="843" w:hangingChars="350"/>
              <w:rPr>
                <w:rFonts w:asciiTheme="majorEastAsia" w:hAnsiTheme="majorEastAsia" w:eastAsiaTheme="majorEastAsia"/>
                <w:sz w:val="24"/>
                <w:szCs w:val="24"/>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透析前</w:t>
            </w:r>
            <w:r>
              <w:rPr>
                <w:rFonts w:hint="eastAsia" w:asciiTheme="majorEastAsia" w:hAnsiTheme="majorEastAsia" w:eastAsiaTheme="majorEastAsia"/>
                <w:sz w:val="24"/>
                <w:szCs w:val="24"/>
              </w:rPr>
              <w:t>834.52±277.69</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32.91</w:t>
            </w:r>
            <w:r>
              <w:rPr>
                <w:rFonts w:hint="eastAsia" w:asciiTheme="majorEastAsia" w:hAnsiTheme="majorEastAsia" w:eastAsiaTheme="majorEastAsia"/>
                <w:sz w:val="24"/>
                <w:szCs w:val="24"/>
              </w:rPr>
              <w:t xml:space="preserve">±24.6   2.09±0.28   1.83±0.63   522.44±444.12   105.69±19.79   </w:t>
            </w:r>
          </w:p>
          <w:p>
            <w:pPr>
              <w:rPr>
                <w:rFonts w:asciiTheme="majorEastAsia" w:hAnsiTheme="majorEastAsia" w:eastAsiaTheme="majorEastAsia"/>
                <w:sz w:val="24"/>
                <w:szCs w:val="24"/>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透析后</w:t>
            </w:r>
            <w:r>
              <w:rPr>
                <w:rFonts w:hint="eastAsia" w:asciiTheme="majorEastAsia" w:hAnsiTheme="majorEastAsia" w:eastAsiaTheme="majorEastAsia"/>
                <w:sz w:val="24"/>
                <w:szCs w:val="24"/>
              </w:rPr>
              <w:t xml:space="preserve">830.59±242.48   24.37±6.12   2.05±0.30   1.93±0.52    431.47±267.75   101.15±15.4  </w:t>
            </w:r>
          </w:p>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P值  &gt;0.05             &gt;0.05         &gt;0.05         &gt;0.05          &lt;0.05               &lt;0.05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1689" w:hRule="atLeast"/>
        </w:trPr>
        <w:tc>
          <w:tcPr>
            <w:tcW w:w="11766" w:type="dxa"/>
            <w:tcBorders>
              <w:bottom w:val="single" w:color="auto" w:sz="4" w:space="0"/>
            </w:tcBorders>
          </w:tcPr>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组别   白蛋白          尿酸            血小板      超敏C反应蛋白   甘油三脂        胆固醇 </w:t>
            </w:r>
          </w:p>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ALB  </w:t>
            </w:r>
            <w:r>
              <w:rPr>
                <w:rFonts w:hint="eastAsia"/>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UA</w:t>
            </w:r>
            <w:r>
              <w:rPr>
                <w:rFonts w:hint="eastAsia"/>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BLT</w:t>
            </w:r>
            <w:r>
              <w:rPr>
                <w:rFonts w:hint="eastAsia"/>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hs- CRP        TG              TC</w:t>
            </w:r>
          </w:p>
          <w:p>
            <w:pPr>
              <w:ind w:left="843" w:hanging="843" w:hangingChars="350"/>
              <w:rPr>
                <w:rFonts w:asciiTheme="majorEastAsia" w:hAnsiTheme="majorEastAsia" w:eastAsiaTheme="majorEastAsia"/>
                <w:sz w:val="24"/>
                <w:szCs w:val="24"/>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透析前</w:t>
            </w:r>
            <w:r>
              <w:rPr>
                <w:rFonts w:hint="eastAsia" w:asciiTheme="majorEastAsia" w:hAnsiTheme="majorEastAsia" w:eastAsiaTheme="majorEastAsia"/>
                <w:sz w:val="24"/>
                <w:szCs w:val="24"/>
              </w:rPr>
              <w:t>39.70±5.56    434.93±133.10     177.20±66.64  25.69±8.85   3.35±1.12      6.24±2.23</w:t>
            </w:r>
          </w:p>
          <w:p>
            <w:pPr>
              <w:rPr>
                <w:rFonts w:asciiTheme="majorEastAsia" w:hAnsiTheme="majorEastAsia" w:eastAsiaTheme="majorEastAsia"/>
                <w:sz w:val="24"/>
                <w:szCs w:val="24"/>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透析后</w:t>
            </w:r>
            <w:r>
              <w:rPr>
                <w:rFonts w:hint="eastAsia" w:asciiTheme="majorEastAsia" w:hAnsiTheme="majorEastAsia" w:eastAsiaTheme="majorEastAsia"/>
                <w:sz w:val="24"/>
                <w:szCs w:val="24"/>
              </w:rPr>
              <w:t>40.68±3.88   452.15±39.73       175.82±62.73   17.53±5.22   2.73±0.98     4.53±0.92</w:t>
            </w:r>
          </w:p>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P值      &lt;0.05         &gt;0.05              &gt;0.05          &lt;0.05           &lt;0.05        &lt;0.05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11766" w:type="dxa"/>
          <w:trHeight w:val="100" w:hRule="atLeast"/>
        </w:trPr>
        <w:tc>
          <w:tcPr>
            <w:tcW w:w="236" w:type="dxa"/>
          </w:tcPr>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w:t>
            </w:r>
          </w:p>
        </w:tc>
      </w:tr>
    </w:tbl>
    <w:p>
      <w:pPr>
        <w:ind w:firstLine="602" w:firstLineChars="250"/>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p>
    <w:p>
      <w:pPr>
        <w:ind w:firstLine="602" w:firstLineChars="250"/>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表格2     规律透析6个月后各指标检测水平比较(χ±</w:t>
      </w:r>
      <w: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s</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w:t>
      </w:r>
    </w:p>
    <w:tbl>
      <w:tblPr>
        <w:tblStyle w:val="7"/>
        <w:tblW w:w="11761" w:type="dxa"/>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1761" w:type="dxa"/>
          </w:tcPr>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肌酐          尿素氮         血钙          血磷      甲状旁腺激素         血红蛋白</w:t>
            </w:r>
          </w:p>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Cr            BUN           Ca             P          PTH                  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11761" w:type="dxa"/>
          </w:tcPr>
          <w:p>
            <w:pPr>
              <w:rPr>
                <w:rFonts w:asciiTheme="majorEastAsia" w:hAnsiTheme="majorEastAsia" w:eastAsiaTheme="majorEastAsia"/>
                <w:sz w:val="24"/>
                <w:szCs w:val="24"/>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透析前</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830.59</w:t>
            </w:r>
            <w:r>
              <w:rPr>
                <w:rFonts w:hint="eastAsia" w:asciiTheme="majorEastAsia" w:hAnsiTheme="majorEastAsia" w:eastAsiaTheme="majorEastAsia"/>
                <w:sz w:val="24"/>
                <w:szCs w:val="24"/>
              </w:rPr>
              <w:t>±242.48  24.37± 6.12    2.05±0.30   1.93±0.52  534.32±418.34    108.58±18.38</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透析后 </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350.87</w:t>
            </w:r>
            <w:r>
              <w:rPr>
                <w:rFonts w:hint="eastAsia" w:asciiTheme="majorEastAsia" w:hAnsiTheme="majorEastAsia" w:eastAsiaTheme="majorEastAsia"/>
                <w:sz w:val="24"/>
                <w:szCs w:val="24"/>
              </w:rPr>
              <w:t>±120.70  8.52±2.89     2.23±0.15   0.85±0.23    431.47±254.56    110.79±</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17.52</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 </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P值   </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&lt;0.001           &lt;0.001        &lt;0.001        &lt;0.001         &lt;0.001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&gt;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61" w:type="dxa"/>
          </w:tcPr>
          <w:p>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组别</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白蛋白</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尿酸         血小板       超敏C反应蛋白     甘油三脂          胆固醇</w:t>
            </w:r>
          </w:p>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 xml:space="preserve">ALB  </w:t>
            </w:r>
            <w:r>
              <w:rPr>
                <w:rFonts w:hint="eastAsia"/>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UA</w:t>
            </w:r>
            <w:r>
              <w:rPr>
                <w:rFonts w:hint="eastAsia"/>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BLT</w:t>
            </w:r>
            <w:r>
              <w:rPr>
                <w:rFonts w:hint="eastAsia"/>
              </w:rPr>
              <w:t xml:space="preserve">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hs- CRP            TG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1761" w:type="dxa"/>
          </w:tcPr>
          <w:p>
            <w:pPr>
              <w:rPr>
                <w:rFonts w:asciiTheme="majorEastAsia" w:hAnsiTheme="majorEastAsia" w:eastAsiaTheme="majorEastAsia"/>
                <w:sz w:val="24"/>
                <w:szCs w:val="24"/>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透析前</w:t>
            </w:r>
            <w:r>
              <w:rPr>
                <w:rFonts w:hint="eastAsia" w:asciiTheme="majorEastAsia" w:hAnsiTheme="majorEastAsia" w:eastAsiaTheme="majorEastAsia"/>
                <w:sz w:val="24"/>
                <w:szCs w:val="24"/>
              </w:rPr>
              <w:t>38.53±6.32     452.15±89.73   173.25±64.52  21.33±5.94   2.10±0.74        4.19±1.07</w:t>
            </w:r>
          </w:p>
          <w:p>
            <w:pP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透析后</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39.58</w:t>
            </w:r>
            <w:r>
              <w:rPr>
                <w:rFonts w:hint="eastAsia" w:asciiTheme="majorEastAsia" w:hAnsiTheme="majorEastAsia" w:eastAsiaTheme="majorEastAsia"/>
                <w:sz w:val="24"/>
                <w:szCs w:val="24"/>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4.33    </w:t>
            </w:r>
            <w:r>
              <w:rPr>
                <w:rFonts w:hint="eastAsia" w:asciiTheme="majorEastAsia" w:hAnsiTheme="majorEastAsia" w:eastAsiaTheme="majorEastAsia"/>
                <w:sz w:val="24"/>
                <w:szCs w:val="24"/>
              </w:rPr>
              <w:t xml:space="preserve"> 139.00±</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46.35  </w:t>
            </w:r>
            <w:r>
              <w:rPr>
                <w:rFonts w:hint="eastAsia" w:asciiTheme="majorEastAsia" w:hAnsiTheme="majorEastAsia" w:eastAsiaTheme="majorEastAsia"/>
                <w:sz w:val="24"/>
                <w:szCs w:val="24"/>
              </w:rPr>
              <w:t>172.83±</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61.39  7.32</w:t>
            </w:r>
            <w:r>
              <w:rPr>
                <w:rFonts w:hint="eastAsia" w:asciiTheme="majorEastAsia" w:hAnsiTheme="majorEastAsia" w:eastAsiaTheme="majorEastAsia"/>
                <w:sz w:val="24"/>
                <w:szCs w:val="24"/>
              </w:rPr>
              <w:t>±3.15</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1.98</w:t>
            </w:r>
            <w:r>
              <w:rPr>
                <w:rFonts w:hint="eastAsia" w:asciiTheme="majorEastAsia" w:hAnsiTheme="majorEastAsia" w:eastAsiaTheme="majorEastAsia"/>
                <w:sz w:val="24"/>
                <w:szCs w:val="24"/>
              </w:rPr>
              <w:t xml:space="preserve">±0.53       3.52±0.38        </w:t>
            </w:r>
          </w:p>
          <w:p>
            <w:pPr>
              <w:rPr>
                <w:rFonts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P值   &gt;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0.001           &lt;0.001          </w:t>
            </w:r>
            <w:r>
              <w:rPr>
                <w:rFonts w:hint="eastAsia" w:asciiTheme="majorEastAsia" w:hAnsiTheme="majorEastAsia" w:eastAsiaTheme="majorEastAsia"/>
                <w:b/>
                <w:color w:val="0D0D0D" w:themeColor="text1" w:themeTint="F2"/>
                <w:sz w:val="24"/>
                <w:szCs w:val="24"/>
                <w14:textFill>
                  <w14:solidFill>
                    <w14:schemeClr w14:val="tx1">
                      <w14:lumMod w14:val="95000"/>
                      <w14:lumOff w14:val="5000"/>
                    </w14:schemeClr>
                  </w14:solidFill>
                </w14:textFill>
              </w:rPr>
              <w:t>&gt;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0.001          &lt;0.001       &lt;0.001             &lt;0.001  </w:t>
            </w:r>
          </w:p>
        </w:tc>
      </w:tr>
    </w:tbl>
    <w:p>
      <w:pPr>
        <w:rPr>
          <w:rFonts w:asciiTheme="majorEastAsia" w:hAnsiTheme="majorEastAsia" w:eastAsiaTheme="majorEastAsia"/>
          <w:b/>
          <w:color w:val="0D0D0D" w:themeColor="text1" w:themeTint="F2"/>
          <w:sz w:val="32"/>
          <w:szCs w:val="32"/>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32"/>
          <w:szCs w:val="32"/>
          <w14:textFill>
            <w14:solidFill>
              <w14:schemeClr w14:val="tx1">
                <w14:lumMod w14:val="95000"/>
                <w14:lumOff w14:val="5000"/>
              </w14:schemeClr>
            </w14:solidFill>
          </w14:textFill>
        </w:rPr>
        <w:t>3.讨论：</w:t>
      </w:r>
    </w:p>
    <w:p>
      <w:pPr>
        <w:ind w:firstLine="480" w:firstLineChars="200"/>
        <w:rPr>
          <w:rFonts w:asciiTheme="majorEastAsia" w:hAnsiTheme="majorEastAsia" w:eastAsiaTheme="majorEastAsia"/>
          <w:b/>
          <w:color w:val="0D0D0D" w:themeColor="text1" w:themeTint="F2"/>
          <w:sz w:val="32"/>
          <w:szCs w:val="3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高通量血液透析 (HFHD )是一种有效的肾脏替代治疗方法。主要通过弥散和对流方式清除溶质，增加了超滤量，扩大了清除范围，不仅能清除体内的小分子毒素，还能够通过对流及吸附方式清除机体内的大、中分子毒素物质，减少机体氧化应激反应，降低BUN、Scr、β2 M、iPTH及血磷水平</w:t>
      </w:r>
      <w:r>
        <w:rPr>
          <w:rFonts w:hint="eastAsia" w:asciiTheme="majorEastAsia" w:hAnsiTheme="majorEastAsia" w:eastAsiaTheme="majorEastAsia"/>
          <w:color w:val="0D0D0D" w:themeColor="text1" w:themeTint="F2"/>
          <w:sz w:val="24"/>
          <w:szCs w:val="24"/>
          <w:vertAlign w:val="superscript"/>
          <w14:textFill>
            <w14:solidFill>
              <w14:schemeClr w14:val="tx1">
                <w14:lumMod w14:val="95000"/>
                <w14:lumOff w14:val="5000"/>
              </w14:schemeClr>
            </w14:solidFill>
          </w14:textFill>
        </w:rPr>
        <w:t>[2]</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在改善透析膜与血液的相容性、提高毒素清除效率、保护血管内皮受损、改善糖脂代谢紊乱及贫血、减少微炎症状态、改善骨及矿物质代谢等方面疗效显著。随着CKD患者肾功能损害加重，磷的排泄功能受损，继而出现高磷及低钙血症，导致继发性甲状旁腺功能亢进，甚至引起</w:t>
      </w:r>
      <w:r>
        <w:rPr>
          <w:rFonts w:hint="eastAsia" w:asciiTheme="majorEastAsia" w:hAnsiTheme="majorEastAsia" w:eastAsiaTheme="majorEastAsia"/>
          <w:sz w:val="24"/>
          <w:szCs w:val="24"/>
        </w:rPr>
        <w:t>血管及心肌钙化，骨密度下降，引起佝偻病、骨软化症及</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肾性骨病等并发症</w:t>
      </w:r>
      <w:r>
        <w:rPr>
          <w:rFonts w:hint="eastAsia" w:asciiTheme="majorEastAsia" w:hAnsiTheme="majorEastAsia" w:eastAsiaTheme="majorEastAsia"/>
          <w:color w:val="0D0D0D" w:themeColor="text1" w:themeTint="F2"/>
          <w:sz w:val="24"/>
          <w:szCs w:val="24"/>
          <w:vertAlign w:val="superscript"/>
          <w14:textFill>
            <w14:solidFill>
              <w14:schemeClr w14:val="tx1">
                <w14:lumMod w14:val="95000"/>
                <w14:lumOff w14:val="5000"/>
              </w14:schemeClr>
            </w14:solidFill>
          </w14:textFill>
        </w:rPr>
        <w:t>[3]</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。高</w:t>
      </w:r>
      <w:r>
        <w:rPr>
          <w:rFonts w:hint="eastAsia" w:asciiTheme="majorEastAsia" w:hAnsiTheme="majorEastAsia" w:eastAsiaTheme="majorEastAsia"/>
          <w:sz w:val="24"/>
          <w:szCs w:val="24"/>
        </w:rPr>
        <w:t>磷血症作为慢性肾脏病患者生存的独立危险因素</w:t>
      </w:r>
      <w:r>
        <w:rPr>
          <w:rFonts w:hint="eastAsia" w:asciiTheme="majorEastAsia" w:hAnsiTheme="majorEastAsia" w:eastAsiaTheme="majorEastAsia"/>
          <w:sz w:val="24"/>
          <w:szCs w:val="24"/>
          <w:vertAlign w:val="superscript"/>
        </w:rPr>
        <w:t>[4]</w:t>
      </w:r>
      <w:r>
        <w:rPr>
          <w:rFonts w:hint="eastAsia" w:asciiTheme="majorEastAsia" w:hAnsiTheme="majorEastAsia" w:eastAsiaTheme="majorEastAsia"/>
          <w:sz w:val="24"/>
          <w:szCs w:val="24"/>
        </w:rPr>
        <w:t>，较高的血磷水平可抑制骨化三</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醇,增加骨骼对iPTH 的抵抗，影响甲状旁腺的功能 </w:t>
      </w:r>
      <w:r>
        <w:rPr>
          <w:rFonts w:hint="eastAsia" w:asciiTheme="majorEastAsia" w:hAnsiTheme="majorEastAsia" w:eastAsiaTheme="majorEastAsia"/>
          <w:color w:val="0D0D0D" w:themeColor="text1" w:themeTint="F2"/>
          <w:sz w:val="24"/>
          <w:szCs w:val="24"/>
          <w:vertAlign w:val="superscript"/>
          <w14:textFill>
            <w14:solidFill>
              <w14:schemeClr w14:val="tx1">
                <w14:lumMod w14:val="95000"/>
                <w14:lumOff w14:val="5000"/>
              </w14:schemeClr>
            </w14:solidFill>
          </w14:textFill>
        </w:rPr>
        <w:t>[5-6]</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。血磷因素因素很多，包括血液透析充分性、透析次数及频率、药物干预、饮食控制及透析龄等</w:t>
      </w:r>
      <w:r>
        <w:rPr>
          <w:rFonts w:hint="eastAsia" w:asciiTheme="majorEastAsia" w:hAnsiTheme="majorEastAsia" w:eastAsiaTheme="majorEastAsia"/>
          <w:color w:val="0D0D0D" w:themeColor="text1" w:themeTint="F2"/>
          <w:sz w:val="24"/>
          <w:szCs w:val="24"/>
          <w:vertAlign w:val="superscript"/>
          <w14:textFill>
            <w14:solidFill>
              <w14:schemeClr w14:val="tx1">
                <w14:lumMod w14:val="95000"/>
                <w14:lumOff w14:val="5000"/>
              </w14:schemeClr>
            </w14:solidFill>
          </w14:textFill>
        </w:rPr>
        <w:t>[7-9]</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sz w:val="24"/>
          <w:szCs w:val="24"/>
        </w:rPr>
        <w:t xml:space="preserve"> PTH作为尿毒症主要毒素之一，是影响血磷水平的独立危险因素，与血磷水平成正相关，控制PTH水平对于纠正高磷、降低钙磷乘积具有重要意义。</w:t>
      </w:r>
    </w:p>
    <w:p>
      <w:pPr>
        <w:ind w:firstLine="600" w:firstLineChars="250"/>
        <w:rPr>
          <w:rFonts w:asciiTheme="majorEastAsia" w:hAnsiTheme="majorEastAsia" w:eastAsiaTheme="majorEastAsia"/>
          <w:sz w:val="24"/>
          <w:szCs w:val="24"/>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也有研究发现尿毒症患者普遍存在微炎症状态，长期的慢性炎症可通过多种机制引起包括营养不良、脂代谢紊乱、心血管疾病及红细胞生成抵抗等多种并发症</w:t>
      </w:r>
      <w:r>
        <w:rPr>
          <w:rFonts w:hint="eastAsia" w:asciiTheme="majorEastAsia" w:hAnsiTheme="majorEastAsia" w:eastAsiaTheme="majorEastAsia"/>
          <w:color w:val="0D0D0D" w:themeColor="text1" w:themeTint="F2"/>
          <w:sz w:val="24"/>
          <w:szCs w:val="24"/>
          <w:vertAlign w:val="superscript"/>
          <w14:textFill>
            <w14:solidFill>
              <w14:schemeClr w14:val="tx1">
                <w14:lumMod w14:val="95000"/>
                <w14:lumOff w14:val="5000"/>
              </w14:schemeClr>
            </w14:solidFill>
          </w14:textFill>
        </w:rPr>
        <w:t>[10-11]</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，微炎症状态和缺铁等多因素导致的肾性贫血是MHD患者的常见严重并发症，</w:t>
      </w:r>
      <w:r>
        <w:rPr>
          <w:rFonts w:hint="eastAsia" w:asciiTheme="majorEastAsia" w:hAnsiTheme="majorEastAsia" w:eastAsiaTheme="majorEastAsia"/>
          <w:sz w:val="24"/>
          <w:szCs w:val="24"/>
        </w:rPr>
        <w:t>长期的蛋白质和能量摄入不足，炎症反应、毒素蓄积、酸中毒等原因造成患者肠内营养丢失及蛋白质分解增强，加重了尿毒症患者的营养不良。同时血脂代谢紊乱作为尿毒症患者的另一严重并发症之一，可导致动脉粥样硬化，</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增加心血</w:t>
      </w:r>
      <w:r>
        <w:rPr>
          <w:rFonts w:hint="eastAsia" w:asciiTheme="majorEastAsia" w:hAnsiTheme="majorEastAsia" w:eastAsiaTheme="majorEastAsia"/>
          <w:sz w:val="24"/>
          <w:szCs w:val="24"/>
        </w:rPr>
        <w:t>管事件的发生，也增加尿毒症患者的病死率。</w:t>
      </w:r>
    </w:p>
    <w:p>
      <w:pPr>
        <w:ind w:firstLine="840" w:firstLineChars="35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本研究结果显示，</w:t>
      </w:r>
      <w:r>
        <w:rPr>
          <w:rFonts w:hint="eastAsia" w:asciiTheme="majorEastAsia" w:hAnsiTheme="majorEastAsia" w:eastAsiaTheme="majorEastAsia"/>
          <w:sz w:val="24"/>
          <w:szCs w:val="24"/>
        </w:rPr>
        <w:t>初次使用高通量血液透析后患者血红蛋白、白蛋白、炎症指标hs-CRP、，血脂及PTH明显下降，而肾功、钙磷代谢改善不明显，这与多项研究表明高通量维持性血液透析能改善贫血、有效清除毒素不符，这与我院透析患者严格饮食控制相关；经规律透析6月后，患者营养指标较前无明显差异性，而肾功、炎症指标、钙磷代谢、血脂及PTH等指标明显改善，且透析患者血钙、血磷、PTH达标率明显上升，这表明规律高通量透析治疗能长期的改善患者钙磷代谢、减低炎症反应、改善营养不良状况、保护残余肾功能。但本文缺乏对血清铁、铁蛋白及IL-6、IL-10等炎症指标的纳入，故对高通量维持性血液透析治疗患者微炎症状态相关指标缺乏详细分析。</w:t>
      </w:r>
    </w:p>
    <w:p>
      <w:pPr>
        <w:rPr>
          <w:b/>
          <w:szCs w:val="21"/>
        </w:rPr>
      </w:pPr>
      <w:r>
        <w:rPr>
          <w:rFonts w:hint="eastAsia"/>
          <w:b/>
          <w:szCs w:val="21"/>
        </w:rPr>
        <w:t>4.参考文献：</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1. maintenance hemoKidney Disease：Improving Global Outcomes (KDIGO ) CKD -MBD Work Group ．KDIG clinical practice guideline for the diagnosis，evaluation，prevention，and treatment of Chronic Kidney Disease-Mineral and Bone Disorder (CKD-M BD )[J]．Kidney Int Suppl，2009 ，(113 ) ：S 1—130．</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2.谢鸣部,潘淼,黄智敏,等.高通量透析对维持性血液透析患者血液生化指标的影响[J].医药前沿,2014,12(28):112-114.</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3. 漆映辉 ，曲晓璐 ，唐咏华 ，等．残余肾功能对血液透析患者钙磷代谢 的影 响[J]．临床肾脏病杂志 ，2013，13(1)：31．33．</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4.Palmer，S．C．，et a1.S erum le </w:t>
      </w:r>
      <w:r>
        <w:rPr>
          <w:rFonts w:asciiTheme="majorEastAsia" w:hAnsiTheme="majorEastAsia" w:eastAsiaTheme="majorEastAsia"/>
          <w:sz w:val="18"/>
          <w:szCs w:val="18"/>
        </w:rPr>
        <w:t>–</w:t>
      </w:r>
      <w:r>
        <w:rPr>
          <w:rFonts w:hint="eastAsia" w:asciiTheme="majorEastAsia" w:hAnsiTheme="majorEastAsia" w:eastAsiaTheme="majorEastAsia"/>
          <w:sz w:val="18"/>
          <w:szCs w:val="18"/>
        </w:rPr>
        <w:t xml:space="preserve">vels of phosphorus，parathyroid hormone,and calciumand risk s  o f death and </w:t>
      </w:r>
      <w:r>
        <w:rPr>
          <w:rFonts w:asciiTheme="majorEastAsia" w:hAnsiTheme="majorEastAsia" w:eastAsiaTheme="majorEastAsia"/>
          <w:sz w:val="18"/>
          <w:szCs w:val="18"/>
        </w:rPr>
        <w:t xml:space="preserve">card iovas </w:t>
      </w:r>
      <w:r>
        <w:rPr>
          <w:rFonts w:hint="eastAsia" w:asciiTheme="majorEastAsia" w:hAnsiTheme="majorEastAsia" w:eastAsiaTheme="majorEastAsia"/>
          <w:sz w:val="18"/>
          <w:szCs w:val="18"/>
        </w:rPr>
        <w:t>-</w:t>
      </w:r>
      <w:r>
        <w:rPr>
          <w:rFonts w:asciiTheme="majorEastAsia" w:hAnsiTheme="majorEastAsia" w:eastAsiaTheme="majorEastAsia"/>
          <w:sz w:val="18"/>
          <w:szCs w:val="18"/>
        </w:rPr>
        <w:t xml:space="preserve">cula r disease in individuals </w:t>
      </w:r>
      <w:r>
        <w:rPr>
          <w:rFonts w:hint="eastAsia" w:asciiTheme="majorEastAsia" w:hAnsiTheme="majorEastAsia" w:eastAsiaTheme="majorEastAsia"/>
          <w:sz w:val="18"/>
          <w:szCs w:val="18"/>
        </w:rPr>
        <w:t>w</w:t>
      </w:r>
      <w:r>
        <w:rPr>
          <w:rFonts w:asciiTheme="majorEastAsia" w:hAnsiTheme="majorEastAsia" w:eastAsiaTheme="majorEastAsia"/>
          <w:sz w:val="18"/>
          <w:szCs w:val="18"/>
        </w:rPr>
        <w:t>ith chronickid</w:t>
      </w:r>
      <w:r>
        <w:rPr>
          <w:rFonts w:hint="eastAsia" w:asciiTheme="majorEastAsia" w:hAnsiTheme="majorEastAsia" w:eastAsiaTheme="majorEastAsia"/>
          <w:sz w:val="18"/>
          <w:szCs w:val="18"/>
        </w:rPr>
        <w:t>ney disease：a systematic review and meta—analysis lJj．JAMA，20 11，305 (i1)：l119一l127．）</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5.王芳 ，吴姝琨，洪大情，等．糖尿病与非糖尿病血液透析患者矿物质及骨异常的比较分析 [J]．实用医院临床 杂志 ，2014 ，11(5 ) ：12 1—123．</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6. Chen FK ，Sun A ．Glycated albumin may be a choice，but not all alter-</w:t>
      </w:r>
      <w:r>
        <w:rPr>
          <w:rFonts w:asciiTheme="majorEastAsia" w:hAnsiTheme="majorEastAsia" w:eastAsiaTheme="majorEastAsia"/>
          <w:sz w:val="18"/>
          <w:szCs w:val="18"/>
        </w:rPr>
        <w:t>native marker of g</w:t>
      </w:r>
      <w:r>
        <w:rPr>
          <w:rFonts w:hint="eastAsia" w:asciiTheme="majorEastAsia" w:hAnsiTheme="majorEastAsia" w:eastAsiaTheme="majorEastAsia"/>
          <w:sz w:val="18"/>
          <w:szCs w:val="18"/>
        </w:rPr>
        <w:t>l</w:t>
      </w:r>
      <w:r>
        <w:rPr>
          <w:rFonts w:asciiTheme="majorEastAsia" w:hAnsiTheme="majorEastAsia" w:eastAsiaTheme="majorEastAsia"/>
          <w:sz w:val="18"/>
          <w:szCs w:val="18"/>
        </w:rPr>
        <w:t>ycated hemoglobin for gly</w:t>
      </w:r>
      <w:r>
        <w:rPr>
          <w:rFonts w:hint="eastAsia" w:asciiTheme="majorEastAsia" w:hAnsiTheme="majorEastAsia" w:eastAsiaTheme="majorEastAsia"/>
          <w:sz w:val="18"/>
          <w:szCs w:val="18"/>
        </w:rPr>
        <w:t>c</w:t>
      </w:r>
      <w:r>
        <w:rPr>
          <w:rFonts w:asciiTheme="majorEastAsia" w:hAnsiTheme="majorEastAsia" w:eastAsiaTheme="majorEastAsia"/>
          <w:sz w:val="18"/>
          <w:szCs w:val="18"/>
        </w:rPr>
        <w:t>emic control assessment</w:t>
      </w:r>
      <w:r>
        <w:rPr>
          <w:rFonts w:hint="eastAsia" w:asciiTheme="majorEastAsia" w:hAnsiTheme="majorEastAsia" w:eastAsiaTheme="majorEastAsia"/>
          <w:sz w:val="18"/>
          <w:szCs w:val="18"/>
        </w:rPr>
        <w:t xml:space="preserve"> in diabetic patients undergoing maintenance hemodialysis[J]．中华医学杂志 ：英文版，2013，126(17)：3295-3300．</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7.陈金霄，施素华，邹丽敏，等 . 赋能教育模式对血液透析患者钙磷代谢及营养状态的影响 [J]. 中国血液净化，2018，17（2）：123-125.</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 xml:space="preserve">8.Lacson E J，X u J，Suri RS ，et a1．Survival with three-times </w:t>
      </w:r>
      <w:r>
        <w:rPr>
          <w:rFonts w:asciiTheme="majorEastAsia" w:hAnsiTheme="majorEastAsia" w:eastAsiaTheme="majorEastAsia"/>
          <w:sz w:val="18"/>
          <w:szCs w:val="18"/>
        </w:rPr>
        <w:t>weekly in-center nocturnal versus conventional hemodialysis</w:t>
      </w:r>
      <w:r>
        <w:rPr>
          <w:rFonts w:hint="eastAsia" w:asciiTheme="majorEastAsia" w:hAnsiTheme="majorEastAsia" w:eastAsiaTheme="majorEastAsia"/>
          <w:sz w:val="18"/>
          <w:szCs w:val="18"/>
        </w:rPr>
        <w:t>[J]．J Am Soc Nephrol，2012，23(4)：687—695．</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9．Arita H ，Akizawa T．K/DOQI clinical practice guidelines for bone metabolism and disease in chronic kidney disease[J]．Clin Calci．am ，2004 ，14 (5 ) ：693 -697.</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10. 李元宁，张镇.维持性血液透析患者微炎症状态的临床研究[ J ] . 中国地方病防治杂志 ， 2016 , 31(7) :806.</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11. 魏丹丹，姚丽，焦亚彬，等.维持性血液透析患者微炎症状态的临床研究[J].中国血液净化，2011，10（3）：136-139.</w:t>
      </w:r>
    </w:p>
    <w:p>
      <w:pPr>
        <w:rPr>
          <w:rFonts w:hint="eastAsia"/>
        </w:rPr>
      </w:pPr>
      <w:r>
        <w:rPr>
          <w:rFonts w:hint="eastAsia"/>
        </w:rPr>
        <w:t>作者简介： 唐小玲（1992.10），女，汉族，四川省广元市人。研究生，单位:西南医科大学，西南医科大学附属中医医院。研究方向：中西医结合临床肾脏病学。</w:t>
      </w:r>
    </w:p>
    <w:p>
      <w:pPr>
        <w:rPr>
          <w:rFonts w:hint="eastAsia"/>
        </w:rPr>
      </w:pPr>
      <w:r>
        <w:rPr>
          <w:rFonts w:hint="eastAsia"/>
        </w:rPr>
        <w:t>通讯作者：张琼，女，教授，博士，主任医师</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C9"/>
    <w:rsid w:val="00001D01"/>
    <w:rsid w:val="00003CC6"/>
    <w:rsid w:val="0001728D"/>
    <w:rsid w:val="00020D5C"/>
    <w:rsid w:val="00023852"/>
    <w:rsid w:val="00024DB1"/>
    <w:rsid w:val="00026011"/>
    <w:rsid w:val="000342C9"/>
    <w:rsid w:val="00034DBE"/>
    <w:rsid w:val="00036DDB"/>
    <w:rsid w:val="00053A19"/>
    <w:rsid w:val="00065723"/>
    <w:rsid w:val="00073102"/>
    <w:rsid w:val="00074A75"/>
    <w:rsid w:val="00074F0B"/>
    <w:rsid w:val="000813CA"/>
    <w:rsid w:val="00083BB8"/>
    <w:rsid w:val="000922B9"/>
    <w:rsid w:val="000933D8"/>
    <w:rsid w:val="000A3F92"/>
    <w:rsid w:val="000B5659"/>
    <w:rsid w:val="000C2D3C"/>
    <w:rsid w:val="000C38F4"/>
    <w:rsid w:val="000E5D07"/>
    <w:rsid w:val="000E5D70"/>
    <w:rsid w:val="000E76B5"/>
    <w:rsid w:val="000F0162"/>
    <w:rsid w:val="000F5083"/>
    <w:rsid w:val="00103CF5"/>
    <w:rsid w:val="00106700"/>
    <w:rsid w:val="00110B99"/>
    <w:rsid w:val="0012747F"/>
    <w:rsid w:val="001357F2"/>
    <w:rsid w:val="00136157"/>
    <w:rsid w:val="001417D6"/>
    <w:rsid w:val="00141D96"/>
    <w:rsid w:val="00142181"/>
    <w:rsid w:val="00142B35"/>
    <w:rsid w:val="00166DAE"/>
    <w:rsid w:val="00170DBE"/>
    <w:rsid w:val="0017122D"/>
    <w:rsid w:val="00176E95"/>
    <w:rsid w:val="001779D2"/>
    <w:rsid w:val="0018414D"/>
    <w:rsid w:val="001915FA"/>
    <w:rsid w:val="001926C0"/>
    <w:rsid w:val="001966C5"/>
    <w:rsid w:val="001971A5"/>
    <w:rsid w:val="001A56A6"/>
    <w:rsid w:val="001A647E"/>
    <w:rsid w:val="001A7C60"/>
    <w:rsid w:val="001C11CC"/>
    <w:rsid w:val="001C2573"/>
    <w:rsid w:val="001C2855"/>
    <w:rsid w:val="001D05ED"/>
    <w:rsid w:val="001D6FA5"/>
    <w:rsid w:val="001E0391"/>
    <w:rsid w:val="001E5EBD"/>
    <w:rsid w:val="001E698A"/>
    <w:rsid w:val="001F1597"/>
    <w:rsid w:val="001F4F02"/>
    <w:rsid w:val="001F67F3"/>
    <w:rsid w:val="00201DB6"/>
    <w:rsid w:val="00213BFB"/>
    <w:rsid w:val="00214AB7"/>
    <w:rsid w:val="00215C6E"/>
    <w:rsid w:val="002239B0"/>
    <w:rsid w:val="00224E98"/>
    <w:rsid w:val="00225113"/>
    <w:rsid w:val="002266AC"/>
    <w:rsid w:val="00230926"/>
    <w:rsid w:val="002315E3"/>
    <w:rsid w:val="00237F58"/>
    <w:rsid w:val="00241222"/>
    <w:rsid w:val="00242FC0"/>
    <w:rsid w:val="00251D1D"/>
    <w:rsid w:val="002564FB"/>
    <w:rsid w:val="00263102"/>
    <w:rsid w:val="0026484D"/>
    <w:rsid w:val="00264BD2"/>
    <w:rsid w:val="0027501C"/>
    <w:rsid w:val="00283B16"/>
    <w:rsid w:val="0028787B"/>
    <w:rsid w:val="002939B1"/>
    <w:rsid w:val="002A224F"/>
    <w:rsid w:val="002B25F5"/>
    <w:rsid w:val="002B2F0E"/>
    <w:rsid w:val="002C1B25"/>
    <w:rsid w:val="002C613E"/>
    <w:rsid w:val="002D1C06"/>
    <w:rsid w:val="002D388E"/>
    <w:rsid w:val="002D4AE9"/>
    <w:rsid w:val="002D6E35"/>
    <w:rsid w:val="002D79F9"/>
    <w:rsid w:val="002E5ED8"/>
    <w:rsid w:val="00301005"/>
    <w:rsid w:val="00305DF9"/>
    <w:rsid w:val="0031124A"/>
    <w:rsid w:val="00312FC2"/>
    <w:rsid w:val="00316374"/>
    <w:rsid w:val="00321F11"/>
    <w:rsid w:val="00325D0C"/>
    <w:rsid w:val="00326CB2"/>
    <w:rsid w:val="00330184"/>
    <w:rsid w:val="00335D4C"/>
    <w:rsid w:val="0035513E"/>
    <w:rsid w:val="00357544"/>
    <w:rsid w:val="00364CC9"/>
    <w:rsid w:val="00366A3E"/>
    <w:rsid w:val="00377B51"/>
    <w:rsid w:val="00381752"/>
    <w:rsid w:val="003824CF"/>
    <w:rsid w:val="003A6F1A"/>
    <w:rsid w:val="003B19CC"/>
    <w:rsid w:val="003B2AA2"/>
    <w:rsid w:val="003B6899"/>
    <w:rsid w:val="003C11AC"/>
    <w:rsid w:val="003C1DDB"/>
    <w:rsid w:val="003C629F"/>
    <w:rsid w:val="003D0EE1"/>
    <w:rsid w:val="003D70C0"/>
    <w:rsid w:val="003E3C5D"/>
    <w:rsid w:val="004135D0"/>
    <w:rsid w:val="00413B3B"/>
    <w:rsid w:val="0043243C"/>
    <w:rsid w:val="0043642A"/>
    <w:rsid w:val="004406F2"/>
    <w:rsid w:val="00440DF2"/>
    <w:rsid w:val="0044596D"/>
    <w:rsid w:val="00446005"/>
    <w:rsid w:val="00446E03"/>
    <w:rsid w:val="00451381"/>
    <w:rsid w:val="00451A4E"/>
    <w:rsid w:val="00452A84"/>
    <w:rsid w:val="004553C0"/>
    <w:rsid w:val="00457EF5"/>
    <w:rsid w:val="00462493"/>
    <w:rsid w:val="00462BD5"/>
    <w:rsid w:val="00463EA3"/>
    <w:rsid w:val="004666E3"/>
    <w:rsid w:val="00467F3D"/>
    <w:rsid w:val="00472893"/>
    <w:rsid w:val="00473658"/>
    <w:rsid w:val="0048296B"/>
    <w:rsid w:val="00497113"/>
    <w:rsid w:val="004A0492"/>
    <w:rsid w:val="004A42F9"/>
    <w:rsid w:val="004A5178"/>
    <w:rsid w:val="004B2BF7"/>
    <w:rsid w:val="004B3538"/>
    <w:rsid w:val="004B3AE6"/>
    <w:rsid w:val="004B5595"/>
    <w:rsid w:val="004C1B0D"/>
    <w:rsid w:val="004C5E1A"/>
    <w:rsid w:val="004D4C4D"/>
    <w:rsid w:val="004D7608"/>
    <w:rsid w:val="004E6BB9"/>
    <w:rsid w:val="004F2E9C"/>
    <w:rsid w:val="004F4E1A"/>
    <w:rsid w:val="004F528D"/>
    <w:rsid w:val="004F662B"/>
    <w:rsid w:val="005010D8"/>
    <w:rsid w:val="00502B1B"/>
    <w:rsid w:val="005035F3"/>
    <w:rsid w:val="005046F9"/>
    <w:rsid w:val="00510BC2"/>
    <w:rsid w:val="005111A1"/>
    <w:rsid w:val="0051250D"/>
    <w:rsid w:val="00522FB1"/>
    <w:rsid w:val="005232C9"/>
    <w:rsid w:val="0052363C"/>
    <w:rsid w:val="00525009"/>
    <w:rsid w:val="00540411"/>
    <w:rsid w:val="00541229"/>
    <w:rsid w:val="005502B9"/>
    <w:rsid w:val="005518DD"/>
    <w:rsid w:val="005602D4"/>
    <w:rsid w:val="0056775E"/>
    <w:rsid w:val="00571250"/>
    <w:rsid w:val="00581805"/>
    <w:rsid w:val="00590E37"/>
    <w:rsid w:val="0059107D"/>
    <w:rsid w:val="00595AD4"/>
    <w:rsid w:val="005A3B3C"/>
    <w:rsid w:val="005B1407"/>
    <w:rsid w:val="005C6E0D"/>
    <w:rsid w:val="005D2D79"/>
    <w:rsid w:val="005E1A8B"/>
    <w:rsid w:val="005F4276"/>
    <w:rsid w:val="005F4651"/>
    <w:rsid w:val="005F7F3E"/>
    <w:rsid w:val="00600B2D"/>
    <w:rsid w:val="0061133F"/>
    <w:rsid w:val="00617367"/>
    <w:rsid w:val="006239E8"/>
    <w:rsid w:val="00630836"/>
    <w:rsid w:val="00652824"/>
    <w:rsid w:val="00653BAE"/>
    <w:rsid w:val="006642D4"/>
    <w:rsid w:val="0066489C"/>
    <w:rsid w:val="00665EE7"/>
    <w:rsid w:val="00666A43"/>
    <w:rsid w:val="00666BF8"/>
    <w:rsid w:val="0067058A"/>
    <w:rsid w:val="006862E7"/>
    <w:rsid w:val="00686527"/>
    <w:rsid w:val="006932B4"/>
    <w:rsid w:val="00693452"/>
    <w:rsid w:val="00694981"/>
    <w:rsid w:val="006952B5"/>
    <w:rsid w:val="006A09AF"/>
    <w:rsid w:val="006A3196"/>
    <w:rsid w:val="006A4BBF"/>
    <w:rsid w:val="006B61A5"/>
    <w:rsid w:val="006B6B0E"/>
    <w:rsid w:val="006C21C3"/>
    <w:rsid w:val="006D1329"/>
    <w:rsid w:val="006E0732"/>
    <w:rsid w:val="006E2380"/>
    <w:rsid w:val="006F085B"/>
    <w:rsid w:val="006F0DB2"/>
    <w:rsid w:val="006F6E79"/>
    <w:rsid w:val="006F7F4F"/>
    <w:rsid w:val="006F7FF8"/>
    <w:rsid w:val="00703A40"/>
    <w:rsid w:val="007056BB"/>
    <w:rsid w:val="00705897"/>
    <w:rsid w:val="00706C1E"/>
    <w:rsid w:val="00710898"/>
    <w:rsid w:val="00712C48"/>
    <w:rsid w:val="00715545"/>
    <w:rsid w:val="00716551"/>
    <w:rsid w:val="007239F7"/>
    <w:rsid w:val="007327D9"/>
    <w:rsid w:val="00733C99"/>
    <w:rsid w:val="00735AC3"/>
    <w:rsid w:val="007416FD"/>
    <w:rsid w:val="0074668C"/>
    <w:rsid w:val="00747990"/>
    <w:rsid w:val="0075470A"/>
    <w:rsid w:val="0076476C"/>
    <w:rsid w:val="0076496B"/>
    <w:rsid w:val="007654CE"/>
    <w:rsid w:val="00781B13"/>
    <w:rsid w:val="00785674"/>
    <w:rsid w:val="0078722A"/>
    <w:rsid w:val="00790B2F"/>
    <w:rsid w:val="00791E8D"/>
    <w:rsid w:val="007A43D9"/>
    <w:rsid w:val="007A6B48"/>
    <w:rsid w:val="007A6F65"/>
    <w:rsid w:val="007B3B0A"/>
    <w:rsid w:val="007C58B3"/>
    <w:rsid w:val="007C5C04"/>
    <w:rsid w:val="007E12BA"/>
    <w:rsid w:val="007E6992"/>
    <w:rsid w:val="008008A1"/>
    <w:rsid w:val="00800E63"/>
    <w:rsid w:val="00807AA6"/>
    <w:rsid w:val="008202C5"/>
    <w:rsid w:val="00820548"/>
    <w:rsid w:val="008218DC"/>
    <w:rsid w:val="00827500"/>
    <w:rsid w:val="00830013"/>
    <w:rsid w:val="00841410"/>
    <w:rsid w:val="00842FDE"/>
    <w:rsid w:val="0084549C"/>
    <w:rsid w:val="008477D5"/>
    <w:rsid w:val="00852CBD"/>
    <w:rsid w:val="00854F8F"/>
    <w:rsid w:val="0086299B"/>
    <w:rsid w:val="008807A6"/>
    <w:rsid w:val="0088430B"/>
    <w:rsid w:val="00884B68"/>
    <w:rsid w:val="0089052C"/>
    <w:rsid w:val="00891977"/>
    <w:rsid w:val="008949BE"/>
    <w:rsid w:val="008A0A35"/>
    <w:rsid w:val="008A1413"/>
    <w:rsid w:val="008A22CC"/>
    <w:rsid w:val="008B0240"/>
    <w:rsid w:val="008B4DC0"/>
    <w:rsid w:val="008B6D0D"/>
    <w:rsid w:val="008C0BFC"/>
    <w:rsid w:val="008D6153"/>
    <w:rsid w:val="008E39DF"/>
    <w:rsid w:val="008E3C9D"/>
    <w:rsid w:val="008F1306"/>
    <w:rsid w:val="008F4F80"/>
    <w:rsid w:val="008F5007"/>
    <w:rsid w:val="008F7D66"/>
    <w:rsid w:val="009025B9"/>
    <w:rsid w:val="009117DB"/>
    <w:rsid w:val="00915771"/>
    <w:rsid w:val="009208E0"/>
    <w:rsid w:val="00921432"/>
    <w:rsid w:val="009327B1"/>
    <w:rsid w:val="00933D6C"/>
    <w:rsid w:val="0093672F"/>
    <w:rsid w:val="009610D0"/>
    <w:rsid w:val="00961930"/>
    <w:rsid w:val="0096380C"/>
    <w:rsid w:val="00965368"/>
    <w:rsid w:val="0096749A"/>
    <w:rsid w:val="00971956"/>
    <w:rsid w:val="00973239"/>
    <w:rsid w:val="00974F4E"/>
    <w:rsid w:val="00981534"/>
    <w:rsid w:val="0098300F"/>
    <w:rsid w:val="009A1AAD"/>
    <w:rsid w:val="009A421B"/>
    <w:rsid w:val="009A6A3A"/>
    <w:rsid w:val="009B7C03"/>
    <w:rsid w:val="009E2349"/>
    <w:rsid w:val="009E4ACA"/>
    <w:rsid w:val="009E6EAA"/>
    <w:rsid w:val="009E78D5"/>
    <w:rsid w:val="00A00905"/>
    <w:rsid w:val="00A06D93"/>
    <w:rsid w:val="00A0733C"/>
    <w:rsid w:val="00A1375A"/>
    <w:rsid w:val="00A25263"/>
    <w:rsid w:val="00A25F06"/>
    <w:rsid w:val="00A41E88"/>
    <w:rsid w:val="00A43679"/>
    <w:rsid w:val="00A4694C"/>
    <w:rsid w:val="00A46B0E"/>
    <w:rsid w:val="00A53364"/>
    <w:rsid w:val="00A554AC"/>
    <w:rsid w:val="00A55B01"/>
    <w:rsid w:val="00A64FB9"/>
    <w:rsid w:val="00A67E1C"/>
    <w:rsid w:val="00A701D1"/>
    <w:rsid w:val="00A76BC6"/>
    <w:rsid w:val="00A81706"/>
    <w:rsid w:val="00A839A2"/>
    <w:rsid w:val="00A87673"/>
    <w:rsid w:val="00A91412"/>
    <w:rsid w:val="00A94908"/>
    <w:rsid w:val="00A96321"/>
    <w:rsid w:val="00A977C7"/>
    <w:rsid w:val="00A97F07"/>
    <w:rsid w:val="00AA1E00"/>
    <w:rsid w:val="00AA36CD"/>
    <w:rsid w:val="00AA4BEF"/>
    <w:rsid w:val="00AA54E5"/>
    <w:rsid w:val="00AC0957"/>
    <w:rsid w:val="00AC1EA6"/>
    <w:rsid w:val="00AC300B"/>
    <w:rsid w:val="00AD683A"/>
    <w:rsid w:val="00AE05CC"/>
    <w:rsid w:val="00AE53B2"/>
    <w:rsid w:val="00AE6767"/>
    <w:rsid w:val="00AF3822"/>
    <w:rsid w:val="00AF63A3"/>
    <w:rsid w:val="00AF7F7A"/>
    <w:rsid w:val="00B03526"/>
    <w:rsid w:val="00B156CB"/>
    <w:rsid w:val="00B23420"/>
    <w:rsid w:val="00B25003"/>
    <w:rsid w:val="00B31AA0"/>
    <w:rsid w:val="00B429A0"/>
    <w:rsid w:val="00B44EFA"/>
    <w:rsid w:val="00B50562"/>
    <w:rsid w:val="00B50D32"/>
    <w:rsid w:val="00B54729"/>
    <w:rsid w:val="00B60329"/>
    <w:rsid w:val="00B65970"/>
    <w:rsid w:val="00B65EA1"/>
    <w:rsid w:val="00B8237E"/>
    <w:rsid w:val="00B8544E"/>
    <w:rsid w:val="00B87F7B"/>
    <w:rsid w:val="00B933CA"/>
    <w:rsid w:val="00B97992"/>
    <w:rsid w:val="00BA1179"/>
    <w:rsid w:val="00BA5575"/>
    <w:rsid w:val="00BB613A"/>
    <w:rsid w:val="00BB6F21"/>
    <w:rsid w:val="00BC3054"/>
    <w:rsid w:val="00BC3923"/>
    <w:rsid w:val="00BC7274"/>
    <w:rsid w:val="00BD0930"/>
    <w:rsid w:val="00BD763C"/>
    <w:rsid w:val="00BD7EFB"/>
    <w:rsid w:val="00BE5866"/>
    <w:rsid w:val="00BE5B91"/>
    <w:rsid w:val="00BF6A77"/>
    <w:rsid w:val="00BF7669"/>
    <w:rsid w:val="00C020DF"/>
    <w:rsid w:val="00C05D0C"/>
    <w:rsid w:val="00C16B60"/>
    <w:rsid w:val="00C25151"/>
    <w:rsid w:val="00C30E79"/>
    <w:rsid w:val="00C36108"/>
    <w:rsid w:val="00C36A16"/>
    <w:rsid w:val="00C43365"/>
    <w:rsid w:val="00C4339F"/>
    <w:rsid w:val="00C4647A"/>
    <w:rsid w:val="00C46A6C"/>
    <w:rsid w:val="00C47261"/>
    <w:rsid w:val="00C50464"/>
    <w:rsid w:val="00C51862"/>
    <w:rsid w:val="00C57E24"/>
    <w:rsid w:val="00C61395"/>
    <w:rsid w:val="00C73242"/>
    <w:rsid w:val="00C73E97"/>
    <w:rsid w:val="00C73FE5"/>
    <w:rsid w:val="00C76750"/>
    <w:rsid w:val="00C8482B"/>
    <w:rsid w:val="00C90875"/>
    <w:rsid w:val="00CA2493"/>
    <w:rsid w:val="00CA54DD"/>
    <w:rsid w:val="00CB230F"/>
    <w:rsid w:val="00CB47A2"/>
    <w:rsid w:val="00CB5EAB"/>
    <w:rsid w:val="00CC27A2"/>
    <w:rsid w:val="00CD3CA2"/>
    <w:rsid w:val="00CD4740"/>
    <w:rsid w:val="00CE5898"/>
    <w:rsid w:val="00CF051B"/>
    <w:rsid w:val="00CF099D"/>
    <w:rsid w:val="00CF178D"/>
    <w:rsid w:val="00CF1CF3"/>
    <w:rsid w:val="00CF28CD"/>
    <w:rsid w:val="00CF47FE"/>
    <w:rsid w:val="00CF69BA"/>
    <w:rsid w:val="00CF72D2"/>
    <w:rsid w:val="00D019F3"/>
    <w:rsid w:val="00D079FE"/>
    <w:rsid w:val="00D07DDD"/>
    <w:rsid w:val="00D1149E"/>
    <w:rsid w:val="00D1264D"/>
    <w:rsid w:val="00D15830"/>
    <w:rsid w:val="00D234F8"/>
    <w:rsid w:val="00D24DE2"/>
    <w:rsid w:val="00D26D18"/>
    <w:rsid w:val="00D30426"/>
    <w:rsid w:val="00D31190"/>
    <w:rsid w:val="00D32301"/>
    <w:rsid w:val="00D372A0"/>
    <w:rsid w:val="00D439C9"/>
    <w:rsid w:val="00D457F6"/>
    <w:rsid w:val="00D46752"/>
    <w:rsid w:val="00D50CF6"/>
    <w:rsid w:val="00D6145B"/>
    <w:rsid w:val="00D62E4A"/>
    <w:rsid w:val="00D65DA1"/>
    <w:rsid w:val="00D65EFD"/>
    <w:rsid w:val="00D71170"/>
    <w:rsid w:val="00D717B6"/>
    <w:rsid w:val="00D77C85"/>
    <w:rsid w:val="00D80882"/>
    <w:rsid w:val="00D835BA"/>
    <w:rsid w:val="00D84241"/>
    <w:rsid w:val="00D93A4E"/>
    <w:rsid w:val="00DB0AAA"/>
    <w:rsid w:val="00DB3144"/>
    <w:rsid w:val="00DC43E2"/>
    <w:rsid w:val="00DE3EFE"/>
    <w:rsid w:val="00DE6893"/>
    <w:rsid w:val="00DE69B3"/>
    <w:rsid w:val="00DE7789"/>
    <w:rsid w:val="00E0794E"/>
    <w:rsid w:val="00E12DDF"/>
    <w:rsid w:val="00E20EA8"/>
    <w:rsid w:val="00E24308"/>
    <w:rsid w:val="00E50328"/>
    <w:rsid w:val="00E52BF6"/>
    <w:rsid w:val="00E56206"/>
    <w:rsid w:val="00E600C4"/>
    <w:rsid w:val="00E61D5A"/>
    <w:rsid w:val="00EA5B5C"/>
    <w:rsid w:val="00EA65A9"/>
    <w:rsid w:val="00EB0222"/>
    <w:rsid w:val="00EC24FC"/>
    <w:rsid w:val="00EE381A"/>
    <w:rsid w:val="00EE4E8E"/>
    <w:rsid w:val="00F17E1D"/>
    <w:rsid w:val="00F2513A"/>
    <w:rsid w:val="00F2551D"/>
    <w:rsid w:val="00F27936"/>
    <w:rsid w:val="00F33254"/>
    <w:rsid w:val="00F333DB"/>
    <w:rsid w:val="00F34075"/>
    <w:rsid w:val="00F36753"/>
    <w:rsid w:val="00F37C9E"/>
    <w:rsid w:val="00F43FB9"/>
    <w:rsid w:val="00F47202"/>
    <w:rsid w:val="00F707E6"/>
    <w:rsid w:val="00F71627"/>
    <w:rsid w:val="00F77F28"/>
    <w:rsid w:val="00F8045C"/>
    <w:rsid w:val="00F85E82"/>
    <w:rsid w:val="00F94877"/>
    <w:rsid w:val="00FA3464"/>
    <w:rsid w:val="00FB0B67"/>
    <w:rsid w:val="00FB5D64"/>
    <w:rsid w:val="00FC760A"/>
    <w:rsid w:val="00FD0C8C"/>
    <w:rsid w:val="00FD6A6A"/>
    <w:rsid w:val="1D126AC7"/>
    <w:rsid w:val="51FA77DD"/>
    <w:rsid w:val="6CAD4973"/>
    <w:rsid w:val="733D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15"/>
    <w:semiHidden/>
    <w:unhideWhenUsed/>
    <w:uiPriority w:val="99"/>
    <w:pPr>
      <w:tabs>
        <w:tab w:val="center" w:pos="4153"/>
        <w:tab w:val="right" w:pos="8306"/>
      </w:tabs>
      <w:snapToGrid w:val="0"/>
      <w:jc w:val="left"/>
    </w:pPr>
    <w:rPr>
      <w:sz w:val="18"/>
      <w:szCs w:val="18"/>
    </w:rPr>
  </w:style>
  <w:style w:type="paragraph" w:styleId="4">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7"/>
    <w:unhideWhenUsed/>
    <w:uiPriority w:val="99"/>
    <w:pPr>
      <w:widowControl/>
      <w:jc w:val="left"/>
    </w:pPr>
    <w:rPr>
      <w:kern w:val="0"/>
      <w:sz w:val="20"/>
      <w:szCs w:val="20"/>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
    <w:name w:val="Light Shading Accent 1"/>
    <w:basedOn w:val="7"/>
    <w:uiPriority w:val="60"/>
    <w:rPr>
      <w:color w:val="376092" w:themeColor="accent1" w:themeShade="BF"/>
      <w:kern w:val="0"/>
      <w:sz w:val="22"/>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10">
    <w:name w:val="Medium List 2 Accent 1"/>
    <w:basedOn w:val="7"/>
    <w:uiPriority w:val="66"/>
    <w:rPr>
      <w:rFonts w:asciiTheme="majorHAnsi" w:hAnsiTheme="majorHAnsi" w:eastAsiaTheme="majorEastAsia" w:cstheme="majorBidi"/>
      <w:color w:val="000000" w:themeColor="text1"/>
      <w:kern w:val="0"/>
      <w:sz w:val="22"/>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character" w:styleId="12">
    <w:name w:val="Hyperlink"/>
    <w:basedOn w:val="11"/>
    <w:unhideWhenUsed/>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Char"/>
    <w:basedOn w:val="11"/>
    <w:link w:val="4"/>
    <w:semiHidden/>
    <w:uiPriority w:val="99"/>
    <w:rPr>
      <w:sz w:val="18"/>
      <w:szCs w:val="18"/>
    </w:rPr>
  </w:style>
  <w:style w:type="character" w:customStyle="1" w:styleId="15">
    <w:name w:val="页脚 Char"/>
    <w:basedOn w:val="11"/>
    <w:link w:val="3"/>
    <w:semiHidden/>
    <w:uiPriority w:val="99"/>
    <w:rPr>
      <w:sz w:val="18"/>
      <w:szCs w:val="18"/>
    </w:rPr>
  </w:style>
  <w:style w:type="paragraph" w:customStyle="1" w:styleId="16">
    <w:name w:val="Decimal Aligned"/>
    <w:basedOn w:val="1"/>
    <w:qFormat/>
    <w:uiPriority w:val="40"/>
    <w:pPr>
      <w:widowControl/>
      <w:tabs>
        <w:tab w:val="decimal" w:pos="360"/>
      </w:tabs>
      <w:spacing w:after="200" w:line="276" w:lineRule="auto"/>
      <w:jc w:val="left"/>
    </w:pPr>
    <w:rPr>
      <w:kern w:val="0"/>
      <w:sz w:val="22"/>
    </w:rPr>
  </w:style>
  <w:style w:type="character" w:customStyle="1" w:styleId="17">
    <w:name w:val="脚注文本 Char"/>
    <w:basedOn w:val="11"/>
    <w:link w:val="5"/>
    <w:uiPriority w:val="99"/>
    <w:rPr>
      <w:kern w:val="0"/>
      <w:sz w:val="20"/>
      <w:szCs w:val="20"/>
    </w:rPr>
  </w:style>
  <w:style w:type="character" w:customStyle="1" w:styleId="18">
    <w:name w:val="Subtle Emphasis"/>
    <w:basedOn w:val="11"/>
    <w:qFormat/>
    <w:uiPriority w:val="19"/>
    <w:rPr>
      <w:rFonts w:eastAsiaTheme="minorEastAsia" w:cstheme="minorBidi"/>
      <w:i/>
      <w:iCs/>
      <w:color w:val="808080" w:themeColor="text1" w:themeTint="80"/>
      <w:szCs w:val="22"/>
      <w:lang w:eastAsia="zh-CN"/>
      <w14:textFill>
        <w14:solidFill>
          <w14:schemeClr w14:val="tx1">
            <w14:lumMod w14:val="50000"/>
            <w14:lumOff w14:val="50000"/>
          </w14:schemeClr>
        </w14:solidFill>
      </w14:textFill>
    </w:rPr>
  </w:style>
  <w:style w:type="table" w:customStyle="1" w:styleId="19">
    <w:name w:val="浅色底纹 - 强调文字颜色 11"/>
    <w:basedOn w:val="7"/>
    <w:uiPriority w:val="60"/>
    <w:rPr>
      <w:color w:val="376092" w:themeColor="accent1" w:themeShade="BF"/>
      <w:kern w:val="0"/>
      <w:sz w:val="22"/>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character" w:customStyle="1" w:styleId="20">
    <w:name w:val="NormalCharacter"/>
    <w:uiPriority w:val="0"/>
  </w:style>
  <w:style w:type="character" w:customStyle="1" w:styleId="21">
    <w:name w:val="批注框文本 Char"/>
    <w:basedOn w:val="11"/>
    <w:link w:val="2"/>
    <w:semiHidden/>
    <w:qFormat/>
    <w:uiPriority w:val="99"/>
    <w:rPr>
      <w:sz w:val="18"/>
      <w:szCs w:val="18"/>
    </w:rPr>
  </w:style>
  <w:style w:type="character" w:customStyle="1" w:styleId="22">
    <w:name w:val="tgt"/>
    <w:basedOn w:val="11"/>
    <w:uiPriority w:val="0"/>
  </w:style>
  <w:style w:type="character" w:customStyle="1" w:styleId="23">
    <w:name w:val="transsent"/>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0E6F9-533B-419D-8C06-428E1ADEBA0A}">
  <ds:schemaRefs/>
</ds:datastoreItem>
</file>

<file path=docProps/app.xml><?xml version="1.0" encoding="utf-8"?>
<Properties xmlns="http://schemas.openxmlformats.org/officeDocument/2006/extended-properties" xmlns:vt="http://schemas.openxmlformats.org/officeDocument/2006/docPropsVTypes">
  <Template>Normal</Template>
  <Pages>5</Pages>
  <Words>2877</Words>
  <Characters>5469</Characters>
  <Lines>133</Lines>
  <Paragraphs>67</Paragraphs>
  <TotalTime>2</TotalTime>
  <ScaleCrop>false</ScaleCrop>
  <LinksUpToDate>false</LinksUpToDate>
  <CharactersWithSpaces>8279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2019-06-04T08:28:00Z</dcterms:created>
  <dc:creator>Administrator</dc:creator>
  <cp:lastModifiedBy>杂志社编辑部</cp:lastModifiedBy>
  <dcterms:modified xsi:type="dcterms:W3CDTF">2019-06-04T14:18:37Z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